
<file path=[Content_Types].xml><?xml version="1.0" encoding="utf-8"?>
<Types xmlns="http://schemas.openxmlformats.org/package/2006/content-types">
  <Default Extension="xml" ContentType="application/xml"/>
  <Default Extension="jpeg" ContentType="image/jpe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7B6D326E" w:rsidR="00AF1D3F" w:rsidRDefault="006B74F8" w:rsidP="00AF1D3F">
      <w:pPr>
        <w:pStyle w:val="Title"/>
      </w:pPr>
      <w:r>
        <w:t>Trials and Tribulations</w:t>
      </w:r>
      <w:r w:rsidR="006B3BD9">
        <w:t>:</w:t>
      </w:r>
      <w:r w:rsidR="00AF1D3F" w:rsidRPr="00B964DA">
        <w:t xml:space="preserve"> The Case for </w:t>
      </w:r>
      <w:r>
        <w:br/>
      </w:r>
      <w:r w:rsidR="00222BBE">
        <w:t>Abolishing Diversity Jurisdiction</w:t>
      </w:r>
    </w:p>
    <w:p w14:paraId="051A9ED5" w14:textId="77777777" w:rsidR="00AF1D3F" w:rsidRPr="003B200A" w:rsidRDefault="00AF1D3F" w:rsidP="003B2A36">
      <w:pPr>
        <w:pStyle w:val="Constructive"/>
        <w:jc w:val="center"/>
      </w:pPr>
      <w:r>
        <w:t>By Vance Trefethen</w:t>
      </w:r>
    </w:p>
    <w:p w14:paraId="69AD4FBC" w14:textId="77777777" w:rsidR="0091104A" w:rsidRDefault="00AF1D3F">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sidR="0091104A">
        <w:rPr>
          <w:noProof/>
        </w:rPr>
        <w:t>Trials and Tribulations: The Case for  Abolishing Diversity Jurisdiction</w:t>
      </w:r>
      <w:r w:rsidR="0091104A">
        <w:rPr>
          <w:noProof/>
        </w:rPr>
        <w:tab/>
      </w:r>
      <w:r w:rsidR="0091104A">
        <w:rPr>
          <w:noProof/>
        </w:rPr>
        <w:fldChar w:fldCharType="begin"/>
      </w:r>
      <w:r w:rsidR="0091104A">
        <w:rPr>
          <w:noProof/>
        </w:rPr>
        <w:instrText xml:space="preserve"> PAGEREF _Toc304984126 \h </w:instrText>
      </w:r>
      <w:r w:rsidR="0091104A">
        <w:rPr>
          <w:noProof/>
        </w:rPr>
      </w:r>
      <w:r w:rsidR="0091104A">
        <w:rPr>
          <w:noProof/>
        </w:rPr>
        <w:fldChar w:fldCharType="separate"/>
      </w:r>
      <w:r w:rsidR="0008718F">
        <w:rPr>
          <w:noProof/>
        </w:rPr>
        <w:t>3</w:t>
      </w:r>
      <w:r w:rsidR="0091104A">
        <w:rPr>
          <w:noProof/>
        </w:rPr>
        <w:fldChar w:fldCharType="end"/>
      </w:r>
    </w:p>
    <w:p w14:paraId="38D8BE9B" w14:textId="77777777" w:rsidR="0091104A" w:rsidRDefault="0091104A">
      <w:pPr>
        <w:pStyle w:val="TOC2"/>
        <w:rPr>
          <w:rFonts w:asciiTheme="minorHAnsi" w:eastAsiaTheme="minorEastAsia" w:hAnsiTheme="minorHAnsi" w:cstheme="minorBidi"/>
          <w:noProof/>
          <w:sz w:val="24"/>
          <w:szCs w:val="24"/>
          <w:lang w:eastAsia="ja-JP"/>
        </w:rPr>
      </w:pPr>
      <w:r>
        <w:rPr>
          <w:noProof/>
        </w:rPr>
        <w:t>OBSERVATION 1. Our DEFINITIONS.</w:t>
      </w:r>
      <w:r>
        <w:rPr>
          <w:noProof/>
        </w:rPr>
        <w:tab/>
      </w:r>
      <w:r>
        <w:rPr>
          <w:noProof/>
        </w:rPr>
        <w:fldChar w:fldCharType="begin"/>
      </w:r>
      <w:r>
        <w:rPr>
          <w:noProof/>
        </w:rPr>
        <w:instrText xml:space="preserve"> PAGEREF _Toc304984127 \h </w:instrText>
      </w:r>
      <w:r>
        <w:rPr>
          <w:noProof/>
        </w:rPr>
      </w:r>
      <w:r>
        <w:rPr>
          <w:noProof/>
        </w:rPr>
        <w:fldChar w:fldCharType="separate"/>
      </w:r>
      <w:r w:rsidR="0008718F">
        <w:rPr>
          <w:noProof/>
        </w:rPr>
        <w:t>3</w:t>
      </w:r>
      <w:r>
        <w:rPr>
          <w:noProof/>
        </w:rPr>
        <w:fldChar w:fldCharType="end"/>
      </w:r>
    </w:p>
    <w:p w14:paraId="6E151BF2" w14:textId="77777777" w:rsidR="0091104A" w:rsidRDefault="0091104A">
      <w:pPr>
        <w:pStyle w:val="TOC2"/>
        <w:rPr>
          <w:rFonts w:asciiTheme="minorHAnsi" w:eastAsiaTheme="minorEastAsia" w:hAnsiTheme="minorHAnsi" w:cstheme="minorBidi"/>
          <w:noProof/>
          <w:sz w:val="24"/>
          <w:szCs w:val="24"/>
          <w:lang w:eastAsia="ja-JP"/>
        </w:rPr>
      </w:pPr>
      <w:r>
        <w:rPr>
          <w:noProof/>
        </w:rPr>
        <w:t>OBSERVATION 2.  INHERENCY or the conditions of the Status Quo.  Two key FACTS:</w:t>
      </w:r>
      <w:r>
        <w:rPr>
          <w:noProof/>
        </w:rPr>
        <w:tab/>
      </w:r>
      <w:r>
        <w:rPr>
          <w:noProof/>
        </w:rPr>
        <w:fldChar w:fldCharType="begin"/>
      </w:r>
      <w:r>
        <w:rPr>
          <w:noProof/>
        </w:rPr>
        <w:instrText xml:space="preserve"> PAGEREF _Toc304984128 \h </w:instrText>
      </w:r>
      <w:r>
        <w:rPr>
          <w:noProof/>
        </w:rPr>
      </w:r>
      <w:r>
        <w:rPr>
          <w:noProof/>
        </w:rPr>
        <w:fldChar w:fldCharType="separate"/>
      </w:r>
      <w:r w:rsidR="0008718F">
        <w:rPr>
          <w:noProof/>
        </w:rPr>
        <w:t>3</w:t>
      </w:r>
      <w:r>
        <w:rPr>
          <w:noProof/>
        </w:rPr>
        <w:fldChar w:fldCharType="end"/>
      </w:r>
    </w:p>
    <w:p w14:paraId="3ADDF260" w14:textId="77777777" w:rsidR="0091104A" w:rsidRDefault="0091104A">
      <w:pPr>
        <w:pStyle w:val="TOC2"/>
        <w:rPr>
          <w:rFonts w:asciiTheme="minorHAnsi" w:eastAsiaTheme="minorEastAsia" w:hAnsiTheme="minorHAnsi" w:cstheme="minorBidi"/>
          <w:noProof/>
          <w:sz w:val="24"/>
          <w:szCs w:val="24"/>
          <w:lang w:eastAsia="ja-JP"/>
        </w:rPr>
      </w:pPr>
      <w:r>
        <w:rPr>
          <w:noProof/>
        </w:rPr>
        <w:t>FACT 1.  Diversity Jurisdiction. 35% of Federal civil cases fall under Diversity jurisdiction.</w:t>
      </w:r>
      <w:r>
        <w:rPr>
          <w:noProof/>
        </w:rPr>
        <w:tab/>
      </w:r>
      <w:r>
        <w:rPr>
          <w:noProof/>
        </w:rPr>
        <w:fldChar w:fldCharType="begin"/>
      </w:r>
      <w:r>
        <w:rPr>
          <w:noProof/>
        </w:rPr>
        <w:instrText xml:space="preserve"> PAGEREF _Toc304984129 \h </w:instrText>
      </w:r>
      <w:r>
        <w:rPr>
          <w:noProof/>
        </w:rPr>
      </w:r>
      <w:r>
        <w:rPr>
          <w:noProof/>
        </w:rPr>
        <w:fldChar w:fldCharType="separate"/>
      </w:r>
      <w:r w:rsidR="0008718F">
        <w:rPr>
          <w:noProof/>
        </w:rPr>
        <w:t>3</w:t>
      </w:r>
      <w:r>
        <w:rPr>
          <w:noProof/>
        </w:rPr>
        <w:fldChar w:fldCharType="end"/>
      </w:r>
    </w:p>
    <w:p w14:paraId="6FA8103C" w14:textId="77777777" w:rsidR="0091104A" w:rsidRDefault="0091104A">
      <w:pPr>
        <w:pStyle w:val="TOC3"/>
        <w:rPr>
          <w:rFonts w:asciiTheme="minorHAnsi" w:eastAsiaTheme="minorEastAsia" w:hAnsiTheme="minorHAnsi" w:cstheme="minorBidi"/>
          <w:noProof/>
          <w:sz w:val="24"/>
          <w:szCs w:val="24"/>
          <w:lang w:eastAsia="ja-JP"/>
        </w:rPr>
      </w:pPr>
      <w:r>
        <w:rPr>
          <w:noProof/>
        </w:rPr>
        <w:t>They’re lawsuits involving people from different states that could have been settled in a state court, but they are a significant part of the federal caseload.</w:t>
      </w:r>
      <w:r>
        <w:rPr>
          <w:noProof/>
        </w:rPr>
        <w:tab/>
      </w:r>
      <w:r>
        <w:rPr>
          <w:noProof/>
        </w:rPr>
        <w:fldChar w:fldCharType="begin"/>
      </w:r>
      <w:r>
        <w:rPr>
          <w:noProof/>
        </w:rPr>
        <w:instrText xml:space="preserve"> PAGEREF _Toc304984130 \h </w:instrText>
      </w:r>
      <w:r>
        <w:rPr>
          <w:noProof/>
        </w:rPr>
      </w:r>
      <w:r>
        <w:rPr>
          <w:noProof/>
        </w:rPr>
        <w:fldChar w:fldCharType="separate"/>
      </w:r>
      <w:r w:rsidR="0008718F">
        <w:rPr>
          <w:noProof/>
        </w:rPr>
        <w:t>3</w:t>
      </w:r>
      <w:r>
        <w:rPr>
          <w:noProof/>
        </w:rPr>
        <w:fldChar w:fldCharType="end"/>
      </w:r>
    </w:p>
    <w:p w14:paraId="1D83B2F4" w14:textId="77777777" w:rsidR="0091104A" w:rsidRDefault="0091104A">
      <w:pPr>
        <w:pStyle w:val="TOC2"/>
        <w:rPr>
          <w:rFonts w:asciiTheme="minorHAnsi" w:eastAsiaTheme="minorEastAsia" w:hAnsiTheme="minorHAnsi" w:cstheme="minorBidi"/>
          <w:noProof/>
          <w:sz w:val="24"/>
          <w:szCs w:val="24"/>
          <w:lang w:eastAsia="ja-JP"/>
        </w:rPr>
      </w:pPr>
      <w:r>
        <w:rPr>
          <w:noProof/>
        </w:rPr>
        <w:t>FACT 2.  Caseload Crisis.</w:t>
      </w:r>
      <w:r>
        <w:rPr>
          <w:noProof/>
        </w:rPr>
        <w:tab/>
      </w:r>
      <w:r>
        <w:rPr>
          <w:noProof/>
        </w:rPr>
        <w:fldChar w:fldCharType="begin"/>
      </w:r>
      <w:r>
        <w:rPr>
          <w:noProof/>
        </w:rPr>
        <w:instrText xml:space="preserve"> PAGEREF _Toc304984131 \h </w:instrText>
      </w:r>
      <w:r>
        <w:rPr>
          <w:noProof/>
        </w:rPr>
      </w:r>
      <w:r>
        <w:rPr>
          <w:noProof/>
        </w:rPr>
        <w:fldChar w:fldCharType="separate"/>
      </w:r>
      <w:r w:rsidR="0008718F">
        <w:rPr>
          <w:noProof/>
        </w:rPr>
        <w:t>4</w:t>
      </w:r>
      <w:r>
        <w:rPr>
          <w:noProof/>
        </w:rPr>
        <w:fldChar w:fldCharType="end"/>
      </w:r>
    </w:p>
    <w:p w14:paraId="6074F682" w14:textId="77777777" w:rsidR="0091104A" w:rsidRDefault="0091104A">
      <w:pPr>
        <w:pStyle w:val="TOC3"/>
        <w:rPr>
          <w:rFonts w:asciiTheme="minorHAnsi" w:eastAsiaTheme="minorEastAsia" w:hAnsiTheme="minorHAnsi" w:cstheme="minorBidi"/>
          <w:noProof/>
          <w:sz w:val="24"/>
          <w:szCs w:val="24"/>
          <w:lang w:eastAsia="ja-JP"/>
        </w:rPr>
      </w:pPr>
      <w:r>
        <w:rPr>
          <w:noProof/>
        </w:rPr>
        <w:t>Federal courts face a crisis in caseload volume.</w:t>
      </w:r>
      <w:r>
        <w:rPr>
          <w:noProof/>
        </w:rPr>
        <w:tab/>
      </w:r>
      <w:r>
        <w:rPr>
          <w:noProof/>
        </w:rPr>
        <w:fldChar w:fldCharType="begin"/>
      </w:r>
      <w:r>
        <w:rPr>
          <w:noProof/>
        </w:rPr>
        <w:instrText xml:space="preserve"> PAGEREF _Toc304984132 \h </w:instrText>
      </w:r>
      <w:r>
        <w:rPr>
          <w:noProof/>
        </w:rPr>
      </w:r>
      <w:r>
        <w:rPr>
          <w:noProof/>
        </w:rPr>
        <w:fldChar w:fldCharType="separate"/>
      </w:r>
      <w:r w:rsidR="0008718F">
        <w:rPr>
          <w:noProof/>
        </w:rPr>
        <w:t>4</w:t>
      </w:r>
      <w:r>
        <w:rPr>
          <w:noProof/>
        </w:rPr>
        <w:fldChar w:fldCharType="end"/>
      </w:r>
    </w:p>
    <w:p w14:paraId="0221B817" w14:textId="77777777" w:rsidR="0091104A" w:rsidRDefault="0091104A">
      <w:pPr>
        <w:pStyle w:val="TOC2"/>
        <w:rPr>
          <w:rFonts w:asciiTheme="minorHAnsi" w:eastAsiaTheme="minorEastAsia" w:hAnsiTheme="minorHAnsi" w:cstheme="minorBidi"/>
          <w:noProof/>
          <w:sz w:val="24"/>
          <w:szCs w:val="24"/>
          <w:lang w:eastAsia="ja-JP"/>
        </w:rPr>
      </w:pPr>
      <w:r>
        <w:rPr>
          <w:noProof/>
        </w:rPr>
        <w:t>OBSERVATION 3.  HARMS</w:t>
      </w:r>
      <w:r>
        <w:rPr>
          <w:noProof/>
        </w:rPr>
        <w:tab/>
      </w:r>
      <w:r>
        <w:rPr>
          <w:noProof/>
        </w:rPr>
        <w:fldChar w:fldCharType="begin"/>
      </w:r>
      <w:r>
        <w:rPr>
          <w:noProof/>
        </w:rPr>
        <w:instrText xml:space="preserve"> PAGEREF _Toc304984133 \h </w:instrText>
      </w:r>
      <w:r>
        <w:rPr>
          <w:noProof/>
        </w:rPr>
      </w:r>
      <w:r>
        <w:rPr>
          <w:noProof/>
        </w:rPr>
        <w:fldChar w:fldCharType="separate"/>
      </w:r>
      <w:r w:rsidR="0008718F">
        <w:rPr>
          <w:noProof/>
        </w:rPr>
        <w:t>4</w:t>
      </w:r>
      <w:r>
        <w:rPr>
          <w:noProof/>
        </w:rPr>
        <w:fldChar w:fldCharType="end"/>
      </w:r>
    </w:p>
    <w:p w14:paraId="629FFC2E" w14:textId="77777777" w:rsidR="0091104A" w:rsidRDefault="0091104A">
      <w:pPr>
        <w:pStyle w:val="TOC3"/>
        <w:rPr>
          <w:rFonts w:asciiTheme="minorHAnsi" w:eastAsiaTheme="minorEastAsia" w:hAnsiTheme="minorHAnsi" w:cstheme="minorBidi"/>
          <w:noProof/>
          <w:sz w:val="24"/>
          <w:szCs w:val="24"/>
          <w:lang w:eastAsia="ja-JP"/>
        </w:rPr>
      </w:pPr>
      <w:r>
        <w:rPr>
          <w:noProof/>
        </w:rPr>
        <w:t>HARM 1.  Justice Compromised.  Current policies sacrifice fairness and accountability just to get through the caseload</w:t>
      </w:r>
      <w:r>
        <w:rPr>
          <w:noProof/>
        </w:rPr>
        <w:tab/>
      </w:r>
      <w:r>
        <w:rPr>
          <w:noProof/>
        </w:rPr>
        <w:fldChar w:fldCharType="begin"/>
      </w:r>
      <w:r>
        <w:rPr>
          <w:noProof/>
        </w:rPr>
        <w:instrText xml:space="preserve"> PAGEREF _Toc304984134 \h </w:instrText>
      </w:r>
      <w:r>
        <w:rPr>
          <w:noProof/>
        </w:rPr>
      </w:r>
      <w:r>
        <w:rPr>
          <w:noProof/>
        </w:rPr>
        <w:fldChar w:fldCharType="separate"/>
      </w:r>
      <w:r w:rsidR="0008718F">
        <w:rPr>
          <w:noProof/>
        </w:rPr>
        <w:t>4</w:t>
      </w:r>
      <w:r>
        <w:rPr>
          <w:noProof/>
        </w:rPr>
        <w:fldChar w:fldCharType="end"/>
      </w:r>
    </w:p>
    <w:p w14:paraId="2E9A68E6" w14:textId="77777777" w:rsidR="0091104A" w:rsidRDefault="0091104A">
      <w:pPr>
        <w:pStyle w:val="TOC3"/>
        <w:rPr>
          <w:rFonts w:asciiTheme="minorHAnsi" w:eastAsiaTheme="minorEastAsia" w:hAnsiTheme="minorHAnsi" w:cstheme="minorBidi"/>
          <w:noProof/>
          <w:sz w:val="24"/>
          <w:szCs w:val="24"/>
          <w:lang w:eastAsia="ja-JP"/>
        </w:rPr>
      </w:pPr>
      <w:r>
        <w:rPr>
          <w:noProof/>
        </w:rPr>
        <w:t>HARM 2.  Harassment.  Nuisance lawsuits are inflicted on people just to change the venue from Federal to State court</w:t>
      </w:r>
      <w:r>
        <w:rPr>
          <w:noProof/>
        </w:rPr>
        <w:tab/>
      </w:r>
      <w:r>
        <w:rPr>
          <w:noProof/>
        </w:rPr>
        <w:fldChar w:fldCharType="begin"/>
      </w:r>
      <w:r>
        <w:rPr>
          <w:noProof/>
        </w:rPr>
        <w:instrText xml:space="preserve"> PAGEREF _Toc304984135 \h </w:instrText>
      </w:r>
      <w:r>
        <w:rPr>
          <w:noProof/>
        </w:rPr>
      </w:r>
      <w:r>
        <w:rPr>
          <w:noProof/>
        </w:rPr>
        <w:fldChar w:fldCharType="separate"/>
      </w:r>
      <w:r w:rsidR="0008718F">
        <w:rPr>
          <w:noProof/>
        </w:rPr>
        <w:t>4</w:t>
      </w:r>
      <w:r>
        <w:rPr>
          <w:noProof/>
        </w:rPr>
        <w:fldChar w:fldCharType="end"/>
      </w:r>
    </w:p>
    <w:p w14:paraId="74B71785" w14:textId="77777777" w:rsidR="0091104A" w:rsidRDefault="0091104A">
      <w:pPr>
        <w:pStyle w:val="TOC3"/>
        <w:rPr>
          <w:rFonts w:asciiTheme="minorHAnsi" w:eastAsiaTheme="minorEastAsia" w:hAnsiTheme="minorHAnsi" w:cstheme="minorBidi"/>
          <w:noProof/>
          <w:sz w:val="24"/>
          <w:szCs w:val="24"/>
          <w:lang w:eastAsia="ja-JP"/>
        </w:rPr>
      </w:pPr>
      <w:r>
        <w:rPr>
          <w:noProof/>
        </w:rPr>
        <w:t>HARM 3.  Higher cost.  Diversity raises the cost of litigation and often hurts plaintiffs</w:t>
      </w:r>
      <w:r>
        <w:rPr>
          <w:noProof/>
        </w:rPr>
        <w:tab/>
      </w:r>
      <w:r>
        <w:rPr>
          <w:noProof/>
        </w:rPr>
        <w:fldChar w:fldCharType="begin"/>
      </w:r>
      <w:r>
        <w:rPr>
          <w:noProof/>
        </w:rPr>
        <w:instrText xml:space="preserve"> PAGEREF _Toc304984136 \h </w:instrText>
      </w:r>
      <w:r>
        <w:rPr>
          <w:noProof/>
        </w:rPr>
      </w:r>
      <w:r>
        <w:rPr>
          <w:noProof/>
        </w:rPr>
        <w:fldChar w:fldCharType="separate"/>
      </w:r>
      <w:r w:rsidR="0008718F">
        <w:rPr>
          <w:noProof/>
        </w:rPr>
        <w:t>4</w:t>
      </w:r>
      <w:r>
        <w:rPr>
          <w:noProof/>
        </w:rPr>
        <w:fldChar w:fldCharType="end"/>
      </w:r>
    </w:p>
    <w:p w14:paraId="2F0E2C99" w14:textId="77777777" w:rsidR="0091104A" w:rsidRDefault="0091104A">
      <w:pPr>
        <w:pStyle w:val="TOC2"/>
        <w:rPr>
          <w:rFonts w:asciiTheme="minorHAnsi" w:eastAsiaTheme="minorEastAsia" w:hAnsiTheme="minorHAnsi" w:cstheme="minorBidi"/>
          <w:noProof/>
          <w:sz w:val="24"/>
          <w:szCs w:val="24"/>
          <w:lang w:eastAsia="ja-JP"/>
        </w:rPr>
      </w:pPr>
      <w:r>
        <w:rPr>
          <w:noProof/>
        </w:rPr>
        <w:t>OBSERVATION 4. We offer the following PLAN, to be implemented by Congress through any necessary means.</w:t>
      </w:r>
      <w:r>
        <w:rPr>
          <w:noProof/>
        </w:rPr>
        <w:tab/>
      </w:r>
      <w:r>
        <w:rPr>
          <w:noProof/>
        </w:rPr>
        <w:fldChar w:fldCharType="begin"/>
      </w:r>
      <w:r>
        <w:rPr>
          <w:noProof/>
        </w:rPr>
        <w:instrText xml:space="preserve"> PAGEREF _Toc304984137 \h </w:instrText>
      </w:r>
      <w:r>
        <w:rPr>
          <w:noProof/>
        </w:rPr>
      </w:r>
      <w:r>
        <w:rPr>
          <w:noProof/>
        </w:rPr>
        <w:fldChar w:fldCharType="separate"/>
      </w:r>
      <w:r w:rsidR="0008718F">
        <w:rPr>
          <w:noProof/>
        </w:rPr>
        <w:t>5</w:t>
      </w:r>
      <w:r>
        <w:rPr>
          <w:noProof/>
        </w:rPr>
        <w:fldChar w:fldCharType="end"/>
      </w:r>
    </w:p>
    <w:p w14:paraId="4DD1B6FC" w14:textId="77777777" w:rsidR="0091104A" w:rsidRDefault="0091104A">
      <w:pPr>
        <w:pStyle w:val="TOC2"/>
        <w:rPr>
          <w:rFonts w:asciiTheme="minorHAnsi" w:eastAsiaTheme="minorEastAsia" w:hAnsiTheme="minorHAnsi" w:cstheme="minorBidi"/>
          <w:noProof/>
          <w:sz w:val="24"/>
          <w:szCs w:val="24"/>
          <w:lang w:eastAsia="ja-JP"/>
        </w:rPr>
      </w:pPr>
      <w:r>
        <w:rPr>
          <w:noProof/>
        </w:rPr>
        <w:t>OBSERVATION 5.  The ADVANTAGES.</w:t>
      </w:r>
      <w:r>
        <w:rPr>
          <w:noProof/>
        </w:rPr>
        <w:tab/>
      </w:r>
      <w:r>
        <w:rPr>
          <w:noProof/>
        </w:rPr>
        <w:fldChar w:fldCharType="begin"/>
      </w:r>
      <w:r>
        <w:rPr>
          <w:noProof/>
        </w:rPr>
        <w:instrText xml:space="preserve"> PAGEREF _Toc304984138 \h </w:instrText>
      </w:r>
      <w:r>
        <w:rPr>
          <w:noProof/>
        </w:rPr>
      </w:r>
      <w:r>
        <w:rPr>
          <w:noProof/>
        </w:rPr>
        <w:fldChar w:fldCharType="separate"/>
      </w:r>
      <w:r w:rsidR="0008718F">
        <w:rPr>
          <w:noProof/>
        </w:rPr>
        <w:t>5</w:t>
      </w:r>
      <w:r>
        <w:rPr>
          <w:noProof/>
        </w:rPr>
        <w:fldChar w:fldCharType="end"/>
      </w:r>
    </w:p>
    <w:p w14:paraId="0165AD61" w14:textId="77777777" w:rsidR="0091104A" w:rsidRDefault="0091104A">
      <w:pPr>
        <w:pStyle w:val="TOC2"/>
        <w:rPr>
          <w:rFonts w:asciiTheme="minorHAnsi" w:eastAsiaTheme="minorEastAsia" w:hAnsiTheme="minorHAnsi" w:cstheme="minorBidi"/>
          <w:noProof/>
          <w:sz w:val="24"/>
          <w:szCs w:val="24"/>
          <w:lang w:eastAsia="ja-JP"/>
        </w:rPr>
      </w:pPr>
      <w:r>
        <w:rPr>
          <w:noProof/>
        </w:rPr>
        <w:t>ADVANTAGE 1.  Substantial reduction in federal caseload.</w:t>
      </w:r>
      <w:r>
        <w:rPr>
          <w:noProof/>
        </w:rPr>
        <w:tab/>
      </w:r>
      <w:r>
        <w:rPr>
          <w:noProof/>
        </w:rPr>
        <w:fldChar w:fldCharType="begin"/>
      </w:r>
      <w:r>
        <w:rPr>
          <w:noProof/>
        </w:rPr>
        <w:instrText xml:space="preserve"> PAGEREF _Toc304984139 \h </w:instrText>
      </w:r>
      <w:r>
        <w:rPr>
          <w:noProof/>
        </w:rPr>
      </w:r>
      <w:r>
        <w:rPr>
          <w:noProof/>
        </w:rPr>
        <w:fldChar w:fldCharType="separate"/>
      </w:r>
      <w:r w:rsidR="0008718F">
        <w:rPr>
          <w:noProof/>
        </w:rPr>
        <w:t>5</w:t>
      </w:r>
      <w:r>
        <w:rPr>
          <w:noProof/>
        </w:rPr>
        <w:fldChar w:fldCharType="end"/>
      </w:r>
    </w:p>
    <w:p w14:paraId="34B90ED2" w14:textId="77777777" w:rsidR="0091104A" w:rsidRDefault="0091104A">
      <w:pPr>
        <w:pStyle w:val="TOC3"/>
        <w:rPr>
          <w:rFonts w:asciiTheme="minorHAnsi" w:eastAsiaTheme="minorEastAsia" w:hAnsiTheme="minorHAnsi" w:cstheme="minorBidi"/>
          <w:noProof/>
          <w:sz w:val="24"/>
          <w:szCs w:val="24"/>
          <w:lang w:eastAsia="ja-JP"/>
        </w:rPr>
      </w:pPr>
      <w:r>
        <w:rPr>
          <w:noProof/>
        </w:rPr>
        <w:t>The late Chief Justice William Rehnquist advocated our plan because it would reduce over 30% of the civil caseload</w:t>
      </w:r>
      <w:r>
        <w:rPr>
          <w:noProof/>
        </w:rPr>
        <w:tab/>
      </w:r>
      <w:r>
        <w:rPr>
          <w:noProof/>
        </w:rPr>
        <w:fldChar w:fldCharType="begin"/>
      </w:r>
      <w:r>
        <w:rPr>
          <w:noProof/>
        </w:rPr>
        <w:instrText xml:space="preserve"> PAGEREF _Toc304984140 \h </w:instrText>
      </w:r>
      <w:r>
        <w:rPr>
          <w:noProof/>
        </w:rPr>
      </w:r>
      <w:r>
        <w:rPr>
          <w:noProof/>
        </w:rPr>
        <w:fldChar w:fldCharType="separate"/>
      </w:r>
      <w:r w:rsidR="0008718F">
        <w:rPr>
          <w:noProof/>
        </w:rPr>
        <w:t>5</w:t>
      </w:r>
      <w:r>
        <w:rPr>
          <w:noProof/>
        </w:rPr>
        <w:fldChar w:fldCharType="end"/>
      </w:r>
    </w:p>
    <w:p w14:paraId="3A7A6B0D" w14:textId="77777777" w:rsidR="0091104A" w:rsidRDefault="0091104A">
      <w:pPr>
        <w:pStyle w:val="TOC2"/>
        <w:rPr>
          <w:rFonts w:asciiTheme="minorHAnsi" w:eastAsiaTheme="minorEastAsia" w:hAnsiTheme="minorHAnsi" w:cstheme="minorBidi"/>
          <w:noProof/>
          <w:sz w:val="24"/>
          <w:szCs w:val="24"/>
          <w:lang w:eastAsia="ja-JP"/>
        </w:rPr>
      </w:pPr>
      <w:r>
        <w:rPr>
          <w:noProof/>
        </w:rPr>
        <w:t>ADVANTAGE 2.  Better case management.</w:t>
      </w:r>
      <w:r>
        <w:rPr>
          <w:noProof/>
        </w:rPr>
        <w:tab/>
      </w:r>
      <w:r>
        <w:rPr>
          <w:noProof/>
        </w:rPr>
        <w:fldChar w:fldCharType="begin"/>
      </w:r>
      <w:r>
        <w:rPr>
          <w:noProof/>
        </w:rPr>
        <w:instrText xml:space="preserve"> PAGEREF _Toc304984141 \h </w:instrText>
      </w:r>
      <w:r>
        <w:rPr>
          <w:noProof/>
        </w:rPr>
      </w:r>
      <w:r>
        <w:rPr>
          <w:noProof/>
        </w:rPr>
        <w:fldChar w:fldCharType="separate"/>
      </w:r>
      <w:r w:rsidR="0008718F">
        <w:rPr>
          <w:noProof/>
        </w:rPr>
        <w:t>6</w:t>
      </w:r>
      <w:r>
        <w:rPr>
          <w:noProof/>
        </w:rPr>
        <w:fldChar w:fldCharType="end"/>
      </w:r>
    </w:p>
    <w:p w14:paraId="0569B21F" w14:textId="77777777" w:rsidR="0091104A" w:rsidRDefault="0091104A">
      <w:pPr>
        <w:pStyle w:val="TOC3"/>
        <w:rPr>
          <w:rFonts w:asciiTheme="minorHAnsi" w:eastAsiaTheme="minorEastAsia" w:hAnsiTheme="minorHAnsi" w:cstheme="minorBidi"/>
          <w:noProof/>
          <w:sz w:val="24"/>
          <w:szCs w:val="24"/>
          <w:lang w:eastAsia="ja-JP"/>
        </w:rPr>
      </w:pPr>
      <w:r>
        <w:rPr>
          <w:noProof/>
        </w:rPr>
        <w:t>Many federal judges recommend our plan because State courts are better equipped to decide these cases than federal courts.</w:t>
      </w:r>
      <w:r>
        <w:rPr>
          <w:noProof/>
        </w:rPr>
        <w:tab/>
      </w:r>
      <w:r>
        <w:rPr>
          <w:noProof/>
        </w:rPr>
        <w:fldChar w:fldCharType="begin"/>
      </w:r>
      <w:r>
        <w:rPr>
          <w:noProof/>
        </w:rPr>
        <w:instrText xml:space="preserve"> PAGEREF _Toc304984142 \h </w:instrText>
      </w:r>
      <w:r>
        <w:rPr>
          <w:noProof/>
        </w:rPr>
      </w:r>
      <w:r>
        <w:rPr>
          <w:noProof/>
        </w:rPr>
        <w:fldChar w:fldCharType="separate"/>
      </w:r>
      <w:r w:rsidR="0008718F">
        <w:rPr>
          <w:noProof/>
        </w:rPr>
        <w:t>6</w:t>
      </w:r>
      <w:r>
        <w:rPr>
          <w:noProof/>
        </w:rPr>
        <w:fldChar w:fldCharType="end"/>
      </w:r>
    </w:p>
    <w:p w14:paraId="42E309B5" w14:textId="77777777" w:rsidR="0091104A" w:rsidRDefault="0091104A">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Abolish Diversity Jurisdiction</w:t>
      </w:r>
      <w:r>
        <w:rPr>
          <w:noProof/>
        </w:rPr>
        <w:tab/>
      </w:r>
      <w:r>
        <w:rPr>
          <w:noProof/>
        </w:rPr>
        <w:fldChar w:fldCharType="begin"/>
      </w:r>
      <w:r>
        <w:rPr>
          <w:noProof/>
        </w:rPr>
        <w:instrText xml:space="preserve"> PAGEREF _Toc304984143 \h </w:instrText>
      </w:r>
      <w:r>
        <w:rPr>
          <w:noProof/>
        </w:rPr>
      </w:r>
      <w:r>
        <w:rPr>
          <w:noProof/>
        </w:rPr>
        <w:fldChar w:fldCharType="separate"/>
      </w:r>
      <w:r w:rsidR="0008718F">
        <w:rPr>
          <w:noProof/>
        </w:rPr>
        <w:t>7</w:t>
      </w:r>
      <w:r>
        <w:rPr>
          <w:noProof/>
        </w:rPr>
        <w:fldChar w:fldCharType="end"/>
      </w:r>
    </w:p>
    <w:p w14:paraId="1AF8324F" w14:textId="77777777" w:rsidR="0091104A" w:rsidRDefault="0091104A">
      <w:pPr>
        <w:pStyle w:val="TOC2"/>
        <w:rPr>
          <w:rFonts w:asciiTheme="minorHAnsi" w:eastAsiaTheme="minorEastAsia" w:hAnsiTheme="minorHAnsi" w:cstheme="minorBidi"/>
          <w:noProof/>
          <w:sz w:val="24"/>
          <w:szCs w:val="24"/>
          <w:lang w:eastAsia="ja-JP"/>
        </w:rPr>
      </w:pPr>
      <w:r>
        <w:rPr>
          <w:noProof/>
        </w:rPr>
        <w:t>OPENING QUOTES / AFF PHILOSOPHY</w:t>
      </w:r>
      <w:r>
        <w:rPr>
          <w:noProof/>
        </w:rPr>
        <w:tab/>
      </w:r>
      <w:r>
        <w:rPr>
          <w:noProof/>
        </w:rPr>
        <w:fldChar w:fldCharType="begin"/>
      </w:r>
      <w:r>
        <w:rPr>
          <w:noProof/>
        </w:rPr>
        <w:instrText xml:space="preserve"> PAGEREF _Toc304984144 \h </w:instrText>
      </w:r>
      <w:r>
        <w:rPr>
          <w:noProof/>
        </w:rPr>
      </w:r>
      <w:r>
        <w:rPr>
          <w:noProof/>
        </w:rPr>
        <w:fldChar w:fldCharType="separate"/>
      </w:r>
      <w:r w:rsidR="0008718F">
        <w:rPr>
          <w:noProof/>
        </w:rPr>
        <w:t>7</w:t>
      </w:r>
      <w:r>
        <w:rPr>
          <w:noProof/>
        </w:rPr>
        <w:fldChar w:fldCharType="end"/>
      </w:r>
    </w:p>
    <w:p w14:paraId="3EAEB41A" w14:textId="77777777" w:rsidR="0091104A" w:rsidRDefault="0091104A">
      <w:pPr>
        <w:pStyle w:val="TOC3"/>
        <w:rPr>
          <w:rFonts w:asciiTheme="minorHAnsi" w:eastAsiaTheme="minorEastAsia" w:hAnsiTheme="minorHAnsi" w:cstheme="minorBidi"/>
          <w:noProof/>
          <w:sz w:val="24"/>
          <w:szCs w:val="24"/>
          <w:lang w:eastAsia="ja-JP"/>
        </w:rPr>
      </w:pPr>
      <w:r>
        <w:rPr>
          <w:noProof/>
        </w:rPr>
        <w:t>Justice Robert Jackson 1955:  Abolishing diversity jurisdiction would be the best thing Congress could do for the administration of justice</w:t>
      </w:r>
      <w:r>
        <w:rPr>
          <w:noProof/>
        </w:rPr>
        <w:tab/>
      </w:r>
      <w:r>
        <w:rPr>
          <w:noProof/>
        </w:rPr>
        <w:fldChar w:fldCharType="begin"/>
      </w:r>
      <w:r>
        <w:rPr>
          <w:noProof/>
        </w:rPr>
        <w:instrText xml:space="preserve"> PAGEREF _Toc304984145 \h </w:instrText>
      </w:r>
      <w:r>
        <w:rPr>
          <w:noProof/>
        </w:rPr>
      </w:r>
      <w:r>
        <w:rPr>
          <w:noProof/>
        </w:rPr>
        <w:fldChar w:fldCharType="separate"/>
      </w:r>
      <w:r w:rsidR="0008718F">
        <w:rPr>
          <w:noProof/>
        </w:rPr>
        <w:t>7</w:t>
      </w:r>
      <w:r>
        <w:rPr>
          <w:noProof/>
        </w:rPr>
        <w:fldChar w:fldCharType="end"/>
      </w:r>
    </w:p>
    <w:p w14:paraId="4F401426" w14:textId="77777777" w:rsidR="0091104A" w:rsidRDefault="0091104A">
      <w:pPr>
        <w:pStyle w:val="TOC3"/>
        <w:rPr>
          <w:rFonts w:asciiTheme="minorHAnsi" w:eastAsiaTheme="minorEastAsia" w:hAnsiTheme="minorHAnsi" w:cstheme="minorBidi"/>
          <w:noProof/>
          <w:sz w:val="24"/>
          <w:szCs w:val="24"/>
          <w:lang w:eastAsia="ja-JP"/>
        </w:rPr>
      </w:pPr>
      <w:r>
        <w:rPr>
          <w:noProof/>
        </w:rPr>
        <w:t>Court caseload is like pulling the thread on a tapestry</w:t>
      </w:r>
      <w:r>
        <w:rPr>
          <w:noProof/>
        </w:rPr>
        <w:tab/>
      </w:r>
      <w:r>
        <w:rPr>
          <w:noProof/>
        </w:rPr>
        <w:fldChar w:fldCharType="begin"/>
      </w:r>
      <w:r>
        <w:rPr>
          <w:noProof/>
        </w:rPr>
        <w:instrText xml:space="preserve"> PAGEREF _Toc304984146 \h </w:instrText>
      </w:r>
      <w:r>
        <w:rPr>
          <w:noProof/>
        </w:rPr>
      </w:r>
      <w:r>
        <w:rPr>
          <w:noProof/>
        </w:rPr>
        <w:fldChar w:fldCharType="separate"/>
      </w:r>
      <w:r w:rsidR="0008718F">
        <w:rPr>
          <w:noProof/>
        </w:rPr>
        <w:t>7</w:t>
      </w:r>
      <w:r>
        <w:rPr>
          <w:noProof/>
        </w:rPr>
        <w:fldChar w:fldCharType="end"/>
      </w:r>
    </w:p>
    <w:p w14:paraId="6851D350" w14:textId="77777777" w:rsidR="0091104A" w:rsidRDefault="0091104A">
      <w:pPr>
        <w:pStyle w:val="TOC3"/>
        <w:rPr>
          <w:rFonts w:asciiTheme="minorHAnsi" w:eastAsiaTheme="minorEastAsia" w:hAnsiTheme="minorHAnsi" w:cstheme="minorBidi"/>
          <w:noProof/>
          <w:sz w:val="24"/>
          <w:szCs w:val="24"/>
          <w:lang w:eastAsia="ja-JP"/>
        </w:rPr>
      </w:pPr>
      <w:r>
        <w:rPr>
          <w:noProof/>
        </w:rPr>
        <w:t>Diversity reform advocacy goes back a long ways.  Commenting on a 1971 bill that would have done our plan, 4th Circuit Court of Appeals Chief Judge Clement Haynsworth said back then:</w:t>
      </w:r>
      <w:r>
        <w:rPr>
          <w:noProof/>
        </w:rPr>
        <w:tab/>
      </w:r>
      <w:r>
        <w:rPr>
          <w:noProof/>
        </w:rPr>
        <w:fldChar w:fldCharType="begin"/>
      </w:r>
      <w:r>
        <w:rPr>
          <w:noProof/>
        </w:rPr>
        <w:instrText xml:space="preserve"> PAGEREF _Toc304984147 \h </w:instrText>
      </w:r>
      <w:r>
        <w:rPr>
          <w:noProof/>
        </w:rPr>
      </w:r>
      <w:r>
        <w:rPr>
          <w:noProof/>
        </w:rPr>
        <w:fldChar w:fldCharType="separate"/>
      </w:r>
      <w:r w:rsidR="0008718F">
        <w:rPr>
          <w:noProof/>
        </w:rPr>
        <w:t>7</w:t>
      </w:r>
      <w:r>
        <w:rPr>
          <w:noProof/>
        </w:rPr>
        <w:fldChar w:fldCharType="end"/>
      </w:r>
    </w:p>
    <w:p w14:paraId="26249847" w14:textId="77777777" w:rsidR="0091104A" w:rsidRDefault="0091104A">
      <w:pPr>
        <w:pStyle w:val="TOC2"/>
        <w:rPr>
          <w:rFonts w:asciiTheme="minorHAnsi" w:eastAsiaTheme="minorEastAsia" w:hAnsiTheme="minorHAnsi" w:cstheme="minorBidi"/>
          <w:noProof/>
          <w:sz w:val="24"/>
          <w:szCs w:val="24"/>
          <w:lang w:eastAsia="ja-JP"/>
        </w:rPr>
      </w:pPr>
      <w:r>
        <w:rPr>
          <w:noProof/>
        </w:rPr>
        <w:t>HISTORY / BACKGROUND</w:t>
      </w:r>
      <w:r>
        <w:rPr>
          <w:noProof/>
        </w:rPr>
        <w:tab/>
      </w:r>
      <w:r>
        <w:rPr>
          <w:noProof/>
        </w:rPr>
        <w:fldChar w:fldCharType="begin"/>
      </w:r>
      <w:r>
        <w:rPr>
          <w:noProof/>
        </w:rPr>
        <w:instrText xml:space="preserve"> PAGEREF _Toc304984148 \h </w:instrText>
      </w:r>
      <w:r>
        <w:rPr>
          <w:noProof/>
        </w:rPr>
      </w:r>
      <w:r>
        <w:rPr>
          <w:noProof/>
        </w:rPr>
        <w:fldChar w:fldCharType="separate"/>
      </w:r>
      <w:r w:rsidR="0008718F">
        <w:rPr>
          <w:noProof/>
        </w:rPr>
        <w:t>7</w:t>
      </w:r>
      <w:r>
        <w:rPr>
          <w:noProof/>
        </w:rPr>
        <w:fldChar w:fldCharType="end"/>
      </w:r>
    </w:p>
    <w:p w14:paraId="64F2AB11" w14:textId="77777777" w:rsidR="0091104A" w:rsidRDefault="0091104A">
      <w:pPr>
        <w:pStyle w:val="TOC3"/>
        <w:rPr>
          <w:rFonts w:asciiTheme="minorHAnsi" w:eastAsiaTheme="minorEastAsia" w:hAnsiTheme="minorHAnsi" w:cstheme="minorBidi"/>
          <w:noProof/>
          <w:sz w:val="24"/>
          <w:szCs w:val="24"/>
          <w:lang w:eastAsia="ja-JP"/>
        </w:rPr>
      </w:pPr>
      <w:r>
        <w:rPr>
          <w:noProof/>
        </w:rPr>
        <w:t>Historical origin of federal diversity jurisdiction, and why it was needed back in the 1700s</w:t>
      </w:r>
      <w:r>
        <w:rPr>
          <w:noProof/>
        </w:rPr>
        <w:tab/>
      </w:r>
      <w:r>
        <w:rPr>
          <w:noProof/>
        </w:rPr>
        <w:fldChar w:fldCharType="begin"/>
      </w:r>
      <w:r>
        <w:rPr>
          <w:noProof/>
        </w:rPr>
        <w:instrText xml:space="preserve"> PAGEREF _Toc304984149 \h </w:instrText>
      </w:r>
      <w:r>
        <w:rPr>
          <w:noProof/>
        </w:rPr>
      </w:r>
      <w:r>
        <w:rPr>
          <w:noProof/>
        </w:rPr>
        <w:fldChar w:fldCharType="separate"/>
      </w:r>
      <w:r w:rsidR="0008718F">
        <w:rPr>
          <w:noProof/>
        </w:rPr>
        <w:t>7</w:t>
      </w:r>
      <w:r>
        <w:rPr>
          <w:noProof/>
        </w:rPr>
        <w:fldChar w:fldCharType="end"/>
      </w:r>
    </w:p>
    <w:p w14:paraId="4C998BC2" w14:textId="77777777" w:rsidR="0091104A" w:rsidRDefault="0091104A">
      <w:pPr>
        <w:pStyle w:val="TOC2"/>
        <w:rPr>
          <w:rFonts w:asciiTheme="minorHAnsi" w:eastAsiaTheme="minorEastAsia" w:hAnsiTheme="minorHAnsi" w:cstheme="minorBidi"/>
          <w:noProof/>
          <w:sz w:val="24"/>
          <w:szCs w:val="24"/>
          <w:lang w:eastAsia="ja-JP"/>
        </w:rPr>
      </w:pPr>
      <w:r>
        <w:rPr>
          <w:noProof/>
        </w:rPr>
        <w:t>GOAL / CRITERIA</w:t>
      </w:r>
      <w:r>
        <w:rPr>
          <w:noProof/>
        </w:rPr>
        <w:tab/>
      </w:r>
      <w:r>
        <w:rPr>
          <w:noProof/>
        </w:rPr>
        <w:fldChar w:fldCharType="begin"/>
      </w:r>
      <w:r>
        <w:rPr>
          <w:noProof/>
        </w:rPr>
        <w:instrText xml:space="preserve"> PAGEREF _Toc304984150 \h </w:instrText>
      </w:r>
      <w:r>
        <w:rPr>
          <w:noProof/>
        </w:rPr>
      </w:r>
      <w:r>
        <w:rPr>
          <w:noProof/>
        </w:rPr>
        <w:fldChar w:fldCharType="separate"/>
      </w:r>
      <w:r w:rsidR="0008718F">
        <w:rPr>
          <w:noProof/>
        </w:rPr>
        <w:t>8</w:t>
      </w:r>
      <w:r>
        <w:rPr>
          <w:noProof/>
        </w:rPr>
        <w:fldChar w:fldCharType="end"/>
      </w:r>
    </w:p>
    <w:p w14:paraId="3993707D" w14:textId="77777777" w:rsidR="0091104A" w:rsidRDefault="0091104A">
      <w:pPr>
        <w:pStyle w:val="TOC3"/>
        <w:rPr>
          <w:rFonts w:asciiTheme="minorHAnsi" w:eastAsiaTheme="minorEastAsia" w:hAnsiTheme="minorHAnsi" w:cstheme="minorBidi"/>
          <w:noProof/>
          <w:sz w:val="24"/>
          <w:szCs w:val="24"/>
          <w:lang w:eastAsia="ja-JP"/>
        </w:rPr>
      </w:pPr>
      <w:r>
        <w:rPr>
          <w:noProof/>
        </w:rPr>
        <w:t>Net benefits:  The harm done by diversity jurisdiction greatly exceeds any supposed benefits</w:t>
      </w:r>
      <w:r>
        <w:rPr>
          <w:noProof/>
        </w:rPr>
        <w:tab/>
      </w:r>
      <w:r>
        <w:rPr>
          <w:noProof/>
        </w:rPr>
        <w:fldChar w:fldCharType="begin"/>
      </w:r>
      <w:r>
        <w:rPr>
          <w:noProof/>
        </w:rPr>
        <w:instrText xml:space="preserve"> PAGEREF _Toc304984151 \h </w:instrText>
      </w:r>
      <w:r>
        <w:rPr>
          <w:noProof/>
        </w:rPr>
      </w:r>
      <w:r>
        <w:rPr>
          <w:noProof/>
        </w:rPr>
        <w:fldChar w:fldCharType="separate"/>
      </w:r>
      <w:r w:rsidR="0008718F">
        <w:rPr>
          <w:noProof/>
        </w:rPr>
        <w:t>8</w:t>
      </w:r>
      <w:r>
        <w:rPr>
          <w:noProof/>
        </w:rPr>
        <w:fldChar w:fldCharType="end"/>
      </w:r>
    </w:p>
    <w:p w14:paraId="684F2B2C" w14:textId="77777777" w:rsidR="0091104A" w:rsidRDefault="0091104A">
      <w:pPr>
        <w:pStyle w:val="TOC3"/>
        <w:rPr>
          <w:rFonts w:asciiTheme="minorHAnsi" w:eastAsiaTheme="minorEastAsia" w:hAnsiTheme="minorHAnsi" w:cstheme="minorBidi"/>
          <w:noProof/>
          <w:sz w:val="24"/>
          <w:szCs w:val="24"/>
          <w:lang w:eastAsia="ja-JP"/>
        </w:rPr>
      </w:pPr>
      <w:r>
        <w:rPr>
          <w:noProof/>
        </w:rPr>
        <w:t>5 Criteria summarized in 3 values:  Access, Fairness and Accountability</w:t>
      </w:r>
      <w:r>
        <w:rPr>
          <w:noProof/>
        </w:rPr>
        <w:tab/>
      </w:r>
      <w:r>
        <w:rPr>
          <w:noProof/>
        </w:rPr>
        <w:fldChar w:fldCharType="begin"/>
      </w:r>
      <w:r>
        <w:rPr>
          <w:noProof/>
        </w:rPr>
        <w:instrText xml:space="preserve"> PAGEREF _Toc304984152 \h </w:instrText>
      </w:r>
      <w:r>
        <w:rPr>
          <w:noProof/>
        </w:rPr>
      </w:r>
      <w:r>
        <w:rPr>
          <w:noProof/>
        </w:rPr>
        <w:fldChar w:fldCharType="separate"/>
      </w:r>
      <w:r w:rsidR="0008718F">
        <w:rPr>
          <w:noProof/>
        </w:rPr>
        <w:t>8</w:t>
      </w:r>
      <w:r>
        <w:rPr>
          <w:noProof/>
        </w:rPr>
        <w:fldChar w:fldCharType="end"/>
      </w:r>
    </w:p>
    <w:p w14:paraId="403826ED" w14:textId="77777777" w:rsidR="0091104A" w:rsidRDefault="0091104A">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_Toc304984153 \h </w:instrText>
      </w:r>
      <w:r>
        <w:rPr>
          <w:noProof/>
        </w:rPr>
      </w:r>
      <w:r>
        <w:rPr>
          <w:noProof/>
        </w:rPr>
        <w:fldChar w:fldCharType="separate"/>
      </w:r>
      <w:r w:rsidR="0008718F">
        <w:rPr>
          <w:noProof/>
        </w:rPr>
        <w:t>8</w:t>
      </w:r>
      <w:r>
        <w:rPr>
          <w:noProof/>
        </w:rPr>
        <w:fldChar w:fldCharType="end"/>
      </w:r>
    </w:p>
    <w:p w14:paraId="453A3A2C" w14:textId="77777777" w:rsidR="0091104A" w:rsidRDefault="0091104A">
      <w:pPr>
        <w:pStyle w:val="TOC3"/>
        <w:rPr>
          <w:rFonts w:asciiTheme="minorHAnsi" w:eastAsiaTheme="minorEastAsia" w:hAnsiTheme="minorHAnsi" w:cstheme="minorBidi"/>
          <w:noProof/>
          <w:sz w:val="24"/>
          <w:szCs w:val="24"/>
          <w:lang w:eastAsia="ja-JP"/>
        </w:rPr>
      </w:pPr>
      <w:r>
        <w:rPr>
          <w:noProof/>
        </w:rPr>
        <w:t>Quantification:  There are about 100,000 federal diversity cases per year</w:t>
      </w:r>
      <w:r>
        <w:rPr>
          <w:noProof/>
        </w:rPr>
        <w:tab/>
      </w:r>
      <w:r>
        <w:rPr>
          <w:noProof/>
        </w:rPr>
        <w:fldChar w:fldCharType="begin"/>
      </w:r>
      <w:r>
        <w:rPr>
          <w:noProof/>
        </w:rPr>
        <w:instrText xml:space="preserve"> PAGEREF _Toc304984154 \h </w:instrText>
      </w:r>
      <w:r>
        <w:rPr>
          <w:noProof/>
        </w:rPr>
      </w:r>
      <w:r>
        <w:rPr>
          <w:noProof/>
        </w:rPr>
        <w:fldChar w:fldCharType="separate"/>
      </w:r>
      <w:r w:rsidR="0008718F">
        <w:rPr>
          <w:noProof/>
        </w:rPr>
        <w:t>8</w:t>
      </w:r>
      <w:r>
        <w:rPr>
          <w:noProof/>
        </w:rPr>
        <w:fldChar w:fldCharType="end"/>
      </w:r>
    </w:p>
    <w:p w14:paraId="65D68F49" w14:textId="77777777" w:rsidR="0091104A" w:rsidRDefault="0091104A">
      <w:pPr>
        <w:pStyle w:val="TOC3"/>
        <w:rPr>
          <w:rFonts w:asciiTheme="minorHAnsi" w:eastAsiaTheme="minorEastAsia" w:hAnsiTheme="minorHAnsi" w:cstheme="minorBidi"/>
          <w:noProof/>
          <w:sz w:val="24"/>
          <w:szCs w:val="24"/>
          <w:lang w:eastAsia="ja-JP"/>
        </w:rPr>
      </w:pPr>
      <w:r>
        <w:rPr>
          <w:noProof/>
        </w:rPr>
        <w:t>Overloaded appellate courts mean less justice for the underprivileged</w:t>
      </w:r>
      <w:r>
        <w:rPr>
          <w:noProof/>
        </w:rPr>
        <w:tab/>
      </w:r>
      <w:r>
        <w:rPr>
          <w:noProof/>
        </w:rPr>
        <w:fldChar w:fldCharType="begin"/>
      </w:r>
      <w:r>
        <w:rPr>
          <w:noProof/>
        </w:rPr>
        <w:instrText xml:space="preserve"> PAGEREF _Toc304984155 \h </w:instrText>
      </w:r>
      <w:r>
        <w:rPr>
          <w:noProof/>
        </w:rPr>
      </w:r>
      <w:r>
        <w:rPr>
          <w:noProof/>
        </w:rPr>
        <w:fldChar w:fldCharType="separate"/>
      </w:r>
      <w:r w:rsidR="0008718F">
        <w:rPr>
          <w:noProof/>
        </w:rPr>
        <w:t>9</w:t>
      </w:r>
      <w:r>
        <w:rPr>
          <w:noProof/>
        </w:rPr>
        <w:fldChar w:fldCharType="end"/>
      </w:r>
    </w:p>
    <w:p w14:paraId="7343D389" w14:textId="77777777" w:rsidR="0091104A" w:rsidRDefault="0091104A">
      <w:pPr>
        <w:pStyle w:val="TOC3"/>
        <w:rPr>
          <w:rFonts w:asciiTheme="minorHAnsi" w:eastAsiaTheme="minorEastAsia" w:hAnsiTheme="minorHAnsi" w:cstheme="minorBidi"/>
          <w:noProof/>
          <w:sz w:val="24"/>
          <w:szCs w:val="24"/>
          <w:lang w:eastAsia="ja-JP"/>
        </w:rPr>
      </w:pPr>
      <w:r>
        <w:rPr>
          <w:noProof/>
        </w:rPr>
        <w:t>Caseload is large and growing. Status Quo is managing it by shortchanging the process</w:t>
      </w:r>
      <w:r>
        <w:rPr>
          <w:noProof/>
        </w:rPr>
        <w:tab/>
      </w:r>
      <w:r>
        <w:rPr>
          <w:noProof/>
        </w:rPr>
        <w:fldChar w:fldCharType="begin"/>
      </w:r>
      <w:r>
        <w:rPr>
          <w:noProof/>
        </w:rPr>
        <w:instrText xml:space="preserve"> PAGEREF _Toc304984156 \h </w:instrText>
      </w:r>
      <w:r>
        <w:rPr>
          <w:noProof/>
        </w:rPr>
      </w:r>
      <w:r>
        <w:rPr>
          <w:noProof/>
        </w:rPr>
        <w:fldChar w:fldCharType="separate"/>
      </w:r>
      <w:r w:rsidR="0008718F">
        <w:rPr>
          <w:noProof/>
        </w:rPr>
        <w:t>9</w:t>
      </w:r>
      <w:r>
        <w:rPr>
          <w:noProof/>
        </w:rPr>
        <w:fldChar w:fldCharType="end"/>
      </w:r>
    </w:p>
    <w:p w14:paraId="0C171DD1" w14:textId="77777777" w:rsidR="0091104A" w:rsidRDefault="0091104A">
      <w:pPr>
        <w:pStyle w:val="TOC3"/>
        <w:rPr>
          <w:rFonts w:asciiTheme="minorHAnsi" w:eastAsiaTheme="minorEastAsia" w:hAnsiTheme="minorHAnsi" w:cstheme="minorBidi"/>
          <w:noProof/>
          <w:sz w:val="24"/>
          <w:szCs w:val="24"/>
          <w:lang w:eastAsia="ja-JP"/>
        </w:rPr>
      </w:pPr>
      <w:r>
        <w:rPr>
          <w:noProof/>
        </w:rPr>
        <w:t>Bloated diversity caseload limits courts’ ability to provide justice</w:t>
      </w:r>
      <w:r>
        <w:rPr>
          <w:noProof/>
        </w:rPr>
        <w:tab/>
      </w:r>
      <w:r>
        <w:rPr>
          <w:noProof/>
        </w:rPr>
        <w:fldChar w:fldCharType="begin"/>
      </w:r>
      <w:r>
        <w:rPr>
          <w:noProof/>
        </w:rPr>
        <w:instrText xml:space="preserve"> PAGEREF _Toc304984157 \h </w:instrText>
      </w:r>
      <w:r>
        <w:rPr>
          <w:noProof/>
        </w:rPr>
      </w:r>
      <w:r>
        <w:rPr>
          <w:noProof/>
        </w:rPr>
        <w:fldChar w:fldCharType="separate"/>
      </w:r>
      <w:r w:rsidR="0008718F">
        <w:rPr>
          <w:noProof/>
        </w:rPr>
        <w:t>9</w:t>
      </w:r>
      <w:r>
        <w:rPr>
          <w:noProof/>
        </w:rPr>
        <w:fldChar w:fldCharType="end"/>
      </w:r>
    </w:p>
    <w:p w14:paraId="6DDF95E4" w14:textId="77777777" w:rsidR="0091104A" w:rsidRDefault="0091104A">
      <w:pPr>
        <w:pStyle w:val="TOC3"/>
        <w:rPr>
          <w:rFonts w:asciiTheme="minorHAnsi" w:eastAsiaTheme="minorEastAsia" w:hAnsiTheme="minorHAnsi" w:cstheme="minorBidi"/>
          <w:noProof/>
          <w:sz w:val="24"/>
          <w:szCs w:val="24"/>
          <w:lang w:eastAsia="ja-JP"/>
        </w:rPr>
      </w:pPr>
      <w:r>
        <w:rPr>
          <w:noProof/>
        </w:rPr>
        <w:t>Lack of time to do a complete review of cases calls into question the purpose of an appellate system.  If they’re not really reviewing the cases, why do we need them?</w:t>
      </w:r>
      <w:r>
        <w:rPr>
          <w:noProof/>
        </w:rPr>
        <w:tab/>
      </w:r>
      <w:r>
        <w:rPr>
          <w:noProof/>
        </w:rPr>
        <w:fldChar w:fldCharType="begin"/>
      </w:r>
      <w:r>
        <w:rPr>
          <w:noProof/>
        </w:rPr>
        <w:instrText xml:space="preserve"> PAGEREF _Toc304984158 \h </w:instrText>
      </w:r>
      <w:r>
        <w:rPr>
          <w:noProof/>
        </w:rPr>
      </w:r>
      <w:r>
        <w:rPr>
          <w:noProof/>
        </w:rPr>
        <w:fldChar w:fldCharType="separate"/>
      </w:r>
      <w:r w:rsidR="0008718F">
        <w:rPr>
          <w:noProof/>
        </w:rPr>
        <w:t>10</w:t>
      </w:r>
      <w:r>
        <w:rPr>
          <w:noProof/>
        </w:rPr>
        <w:fldChar w:fldCharType="end"/>
      </w:r>
    </w:p>
    <w:p w14:paraId="35864A28" w14:textId="77777777" w:rsidR="0091104A" w:rsidRDefault="0091104A">
      <w:pPr>
        <w:pStyle w:val="TOC3"/>
        <w:rPr>
          <w:rFonts w:asciiTheme="minorHAnsi" w:eastAsiaTheme="minorEastAsia" w:hAnsiTheme="minorHAnsi" w:cstheme="minorBidi"/>
          <w:noProof/>
          <w:sz w:val="24"/>
          <w:szCs w:val="24"/>
          <w:lang w:eastAsia="ja-JP"/>
        </w:rPr>
      </w:pPr>
      <w:r>
        <w:rPr>
          <w:noProof/>
        </w:rPr>
        <w:t>Diversity jurisdiction leads to “Harassing the Little Guy”:  Adding extra people to a lawsuit just to move it into State court instead of Federal</w:t>
      </w:r>
      <w:r>
        <w:rPr>
          <w:noProof/>
        </w:rPr>
        <w:tab/>
      </w:r>
      <w:r>
        <w:rPr>
          <w:noProof/>
        </w:rPr>
        <w:fldChar w:fldCharType="begin"/>
      </w:r>
      <w:r>
        <w:rPr>
          <w:noProof/>
        </w:rPr>
        <w:instrText xml:space="preserve"> PAGEREF _Toc304984159 \h </w:instrText>
      </w:r>
      <w:r>
        <w:rPr>
          <w:noProof/>
        </w:rPr>
      </w:r>
      <w:r>
        <w:rPr>
          <w:noProof/>
        </w:rPr>
        <w:fldChar w:fldCharType="separate"/>
      </w:r>
      <w:r w:rsidR="0008718F">
        <w:rPr>
          <w:noProof/>
        </w:rPr>
        <w:t>10</w:t>
      </w:r>
      <w:r>
        <w:rPr>
          <w:noProof/>
        </w:rPr>
        <w:fldChar w:fldCharType="end"/>
      </w:r>
    </w:p>
    <w:p w14:paraId="7BD7C3F5" w14:textId="77777777" w:rsidR="0091104A" w:rsidRDefault="0091104A">
      <w:pPr>
        <w:pStyle w:val="TOC3"/>
        <w:rPr>
          <w:rFonts w:asciiTheme="minorHAnsi" w:eastAsiaTheme="minorEastAsia" w:hAnsiTheme="minorHAnsi" w:cstheme="minorBidi"/>
          <w:noProof/>
          <w:sz w:val="24"/>
          <w:szCs w:val="24"/>
          <w:lang w:eastAsia="ja-JP"/>
        </w:rPr>
      </w:pPr>
      <w:r>
        <w:rPr>
          <w:noProof/>
        </w:rPr>
        <w:t>Diversity venue shopping encourages corruption and waste</w:t>
      </w:r>
      <w:r>
        <w:rPr>
          <w:noProof/>
        </w:rPr>
        <w:tab/>
      </w:r>
      <w:r>
        <w:rPr>
          <w:noProof/>
        </w:rPr>
        <w:fldChar w:fldCharType="begin"/>
      </w:r>
      <w:r>
        <w:rPr>
          <w:noProof/>
        </w:rPr>
        <w:instrText xml:space="preserve"> PAGEREF _Toc304984160 \h </w:instrText>
      </w:r>
      <w:r>
        <w:rPr>
          <w:noProof/>
        </w:rPr>
      </w:r>
      <w:r>
        <w:rPr>
          <w:noProof/>
        </w:rPr>
        <w:fldChar w:fldCharType="separate"/>
      </w:r>
      <w:r w:rsidR="0008718F">
        <w:rPr>
          <w:noProof/>
        </w:rPr>
        <w:t>10</w:t>
      </w:r>
      <w:r>
        <w:rPr>
          <w:noProof/>
        </w:rPr>
        <w:fldChar w:fldCharType="end"/>
      </w:r>
    </w:p>
    <w:p w14:paraId="1F858FA2" w14:textId="77777777" w:rsidR="0091104A" w:rsidRDefault="0091104A">
      <w:pPr>
        <w:pStyle w:val="TOC3"/>
        <w:rPr>
          <w:rFonts w:asciiTheme="minorHAnsi" w:eastAsiaTheme="minorEastAsia" w:hAnsiTheme="minorHAnsi" w:cstheme="minorBidi"/>
          <w:noProof/>
          <w:sz w:val="24"/>
          <w:szCs w:val="24"/>
          <w:lang w:eastAsia="ja-JP"/>
        </w:rPr>
      </w:pPr>
      <w:r>
        <w:rPr>
          <w:noProof/>
        </w:rPr>
        <w:t>“Fraudulent joinder” doesn’t solve for harassing the little guy: It’s hard to get himself out of the lawsuit</w:t>
      </w:r>
      <w:r>
        <w:rPr>
          <w:noProof/>
        </w:rPr>
        <w:tab/>
      </w:r>
      <w:r>
        <w:rPr>
          <w:noProof/>
        </w:rPr>
        <w:fldChar w:fldCharType="begin"/>
      </w:r>
      <w:r>
        <w:rPr>
          <w:noProof/>
        </w:rPr>
        <w:instrText xml:space="preserve"> PAGEREF _Toc304984161 \h </w:instrText>
      </w:r>
      <w:r>
        <w:rPr>
          <w:noProof/>
        </w:rPr>
      </w:r>
      <w:r>
        <w:rPr>
          <w:noProof/>
        </w:rPr>
        <w:fldChar w:fldCharType="separate"/>
      </w:r>
      <w:r w:rsidR="0008718F">
        <w:rPr>
          <w:noProof/>
        </w:rPr>
        <w:t>11</w:t>
      </w:r>
      <w:r>
        <w:rPr>
          <w:noProof/>
        </w:rPr>
        <w:fldChar w:fldCharType="end"/>
      </w:r>
    </w:p>
    <w:p w14:paraId="61E3F69E" w14:textId="77777777" w:rsidR="0091104A" w:rsidRDefault="0091104A">
      <w:pPr>
        <w:pStyle w:val="TOC3"/>
        <w:rPr>
          <w:rFonts w:asciiTheme="minorHAnsi" w:eastAsiaTheme="minorEastAsia" w:hAnsiTheme="minorHAnsi" w:cstheme="minorBidi"/>
          <w:noProof/>
          <w:sz w:val="24"/>
          <w:szCs w:val="24"/>
          <w:lang w:eastAsia="ja-JP"/>
        </w:rPr>
      </w:pPr>
      <w:r>
        <w:rPr>
          <w:noProof/>
        </w:rPr>
        <w:lastRenderedPageBreak/>
        <w:t>Federal courts are more expensive than state courts</w:t>
      </w:r>
      <w:r>
        <w:rPr>
          <w:noProof/>
        </w:rPr>
        <w:tab/>
      </w:r>
      <w:r>
        <w:rPr>
          <w:noProof/>
        </w:rPr>
        <w:fldChar w:fldCharType="begin"/>
      </w:r>
      <w:r>
        <w:rPr>
          <w:noProof/>
        </w:rPr>
        <w:instrText xml:space="preserve"> PAGEREF _Toc304984162 \h </w:instrText>
      </w:r>
      <w:r>
        <w:rPr>
          <w:noProof/>
        </w:rPr>
      </w:r>
      <w:r>
        <w:rPr>
          <w:noProof/>
        </w:rPr>
        <w:fldChar w:fldCharType="separate"/>
      </w:r>
      <w:r w:rsidR="0008718F">
        <w:rPr>
          <w:noProof/>
        </w:rPr>
        <w:t>11</w:t>
      </w:r>
      <w:r>
        <w:rPr>
          <w:noProof/>
        </w:rPr>
        <w:fldChar w:fldCharType="end"/>
      </w:r>
    </w:p>
    <w:p w14:paraId="0178F128" w14:textId="77777777" w:rsidR="0091104A" w:rsidRDefault="0091104A">
      <w:pPr>
        <w:pStyle w:val="TOC3"/>
        <w:rPr>
          <w:rFonts w:asciiTheme="minorHAnsi" w:eastAsiaTheme="minorEastAsia" w:hAnsiTheme="minorHAnsi" w:cstheme="minorBidi"/>
          <w:noProof/>
          <w:sz w:val="24"/>
          <w:szCs w:val="24"/>
          <w:lang w:eastAsia="ja-JP"/>
        </w:rPr>
      </w:pPr>
      <w:r>
        <w:rPr>
          <w:noProof/>
        </w:rPr>
        <w:t>Civil cases are the vast majority of cases handled in federal court:  4 times more than criminal cases</w:t>
      </w:r>
      <w:r>
        <w:rPr>
          <w:noProof/>
        </w:rPr>
        <w:tab/>
      </w:r>
      <w:r>
        <w:rPr>
          <w:noProof/>
        </w:rPr>
        <w:fldChar w:fldCharType="begin"/>
      </w:r>
      <w:r>
        <w:rPr>
          <w:noProof/>
        </w:rPr>
        <w:instrText xml:space="preserve"> PAGEREF _Toc304984163 \h </w:instrText>
      </w:r>
      <w:r>
        <w:rPr>
          <w:noProof/>
        </w:rPr>
      </w:r>
      <w:r>
        <w:rPr>
          <w:noProof/>
        </w:rPr>
        <w:fldChar w:fldCharType="separate"/>
      </w:r>
      <w:r w:rsidR="0008718F">
        <w:rPr>
          <w:noProof/>
        </w:rPr>
        <w:t>11</w:t>
      </w:r>
      <w:r>
        <w:rPr>
          <w:noProof/>
        </w:rPr>
        <w:fldChar w:fldCharType="end"/>
      </w:r>
    </w:p>
    <w:p w14:paraId="17C83246" w14:textId="77777777" w:rsidR="0091104A" w:rsidRDefault="0091104A">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_Toc304984164 \h </w:instrText>
      </w:r>
      <w:r>
        <w:rPr>
          <w:noProof/>
        </w:rPr>
      </w:r>
      <w:r>
        <w:rPr>
          <w:noProof/>
        </w:rPr>
        <w:fldChar w:fldCharType="separate"/>
      </w:r>
      <w:r w:rsidR="0008718F">
        <w:rPr>
          <w:noProof/>
        </w:rPr>
        <w:t>12</w:t>
      </w:r>
      <w:r>
        <w:rPr>
          <w:noProof/>
        </w:rPr>
        <w:fldChar w:fldCharType="end"/>
      </w:r>
    </w:p>
    <w:p w14:paraId="763D5762" w14:textId="77777777" w:rsidR="0091104A" w:rsidRDefault="0091104A">
      <w:pPr>
        <w:pStyle w:val="TOC3"/>
        <w:rPr>
          <w:rFonts w:asciiTheme="minorHAnsi" w:eastAsiaTheme="minorEastAsia" w:hAnsiTheme="minorHAnsi" w:cstheme="minorBidi"/>
          <w:noProof/>
          <w:sz w:val="24"/>
          <w:szCs w:val="24"/>
          <w:lang w:eastAsia="ja-JP"/>
        </w:rPr>
      </w:pPr>
      <w:r>
        <w:rPr>
          <w:noProof/>
        </w:rPr>
        <w:t>Federal courts have jurisdiction to hear lawsuits between citizens of different states</w:t>
      </w:r>
      <w:r>
        <w:rPr>
          <w:noProof/>
        </w:rPr>
        <w:tab/>
      </w:r>
      <w:r>
        <w:rPr>
          <w:noProof/>
        </w:rPr>
        <w:fldChar w:fldCharType="begin"/>
      </w:r>
      <w:r>
        <w:rPr>
          <w:noProof/>
        </w:rPr>
        <w:instrText xml:space="preserve"> PAGEREF _Toc304984165 \h </w:instrText>
      </w:r>
      <w:r>
        <w:rPr>
          <w:noProof/>
        </w:rPr>
      </w:r>
      <w:r>
        <w:rPr>
          <w:noProof/>
        </w:rPr>
        <w:fldChar w:fldCharType="separate"/>
      </w:r>
      <w:r w:rsidR="0008718F">
        <w:rPr>
          <w:noProof/>
        </w:rPr>
        <w:t>12</w:t>
      </w:r>
      <w:r>
        <w:rPr>
          <w:noProof/>
        </w:rPr>
        <w:fldChar w:fldCharType="end"/>
      </w:r>
    </w:p>
    <w:p w14:paraId="2A4E3989" w14:textId="77777777" w:rsidR="0091104A" w:rsidRDefault="0091104A">
      <w:pPr>
        <w:pStyle w:val="TOC3"/>
        <w:rPr>
          <w:rFonts w:asciiTheme="minorHAnsi" w:eastAsiaTheme="minorEastAsia" w:hAnsiTheme="minorHAnsi" w:cstheme="minorBidi"/>
          <w:noProof/>
          <w:sz w:val="24"/>
          <w:szCs w:val="24"/>
          <w:lang w:eastAsia="ja-JP"/>
        </w:rPr>
      </w:pPr>
      <w:r>
        <w:rPr>
          <w:noProof/>
        </w:rPr>
        <w:t>Congress has done nothing to limit diversity jurisdiction to alleviate caseload pressures</w:t>
      </w:r>
      <w:r>
        <w:rPr>
          <w:noProof/>
        </w:rPr>
        <w:tab/>
      </w:r>
      <w:r>
        <w:rPr>
          <w:noProof/>
        </w:rPr>
        <w:fldChar w:fldCharType="begin"/>
      </w:r>
      <w:r>
        <w:rPr>
          <w:noProof/>
        </w:rPr>
        <w:instrText xml:space="preserve"> PAGEREF _Toc304984166 \h </w:instrText>
      </w:r>
      <w:r>
        <w:rPr>
          <w:noProof/>
        </w:rPr>
      </w:r>
      <w:r>
        <w:rPr>
          <w:noProof/>
        </w:rPr>
        <w:fldChar w:fldCharType="separate"/>
      </w:r>
      <w:r w:rsidR="0008718F">
        <w:rPr>
          <w:noProof/>
        </w:rPr>
        <w:t>12</w:t>
      </w:r>
      <w:r>
        <w:rPr>
          <w:noProof/>
        </w:rPr>
        <w:fldChar w:fldCharType="end"/>
      </w:r>
    </w:p>
    <w:p w14:paraId="1602006F" w14:textId="77777777" w:rsidR="0091104A" w:rsidRDefault="0091104A">
      <w:pPr>
        <w:pStyle w:val="TOC3"/>
        <w:rPr>
          <w:rFonts w:asciiTheme="minorHAnsi" w:eastAsiaTheme="minorEastAsia" w:hAnsiTheme="minorHAnsi" w:cstheme="minorBidi"/>
          <w:noProof/>
          <w:sz w:val="24"/>
          <w:szCs w:val="24"/>
          <w:lang w:eastAsia="ja-JP"/>
        </w:rPr>
      </w:pPr>
      <w:r>
        <w:rPr>
          <w:noProof/>
        </w:rPr>
        <w:t>Dollar limitation on federal diversity jurisdiction isn’t effectively limiting the caseload any more</w:t>
      </w:r>
      <w:r>
        <w:rPr>
          <w:noProof/>
        </w:rPr>
        <w:tab/>
      </w:r>
      <w:r>
        <w:rPr>
          <w:noProof/>
        </w:rPr>
        <w:fldChar w:fldCharType="begin"/>
      </w:r>
      <w:r>
        <w:rPr>
          <w:noProof/>
        </w:rPr>
        <w:instrText xml:space="preserve"> PAGEREF _Toc304984167 \h </w:instrText>
      </w:r>
      <w:r>
        <w:rPr>
          <w:noProof/>
        </w:rPr>
      </w:r>
      <w:r>
        <w:rPr>
          <w:noProof/>
        </w:rPr>
        <w:fldChar w:fldCharType="separate"/>
      </w:r>
      <w:r w:rsidR="0008718F">
        <w:rPr>
          <w:noProof/>
        </w:rPr>
        <w:t>12</w:t>
      </w:r>
      <w:r>
        <w:rPr>
          <w:noProof/>
        </w:rPr>
        <w:fldChar w:fldCharType="end"/>
      </w:r>
    </w:p>
    <w:p w14:paraId="65D7569F" w14:textId="77777777" w:rsidR="0091104A" w:rsidRDefault="0091104A">
      <w:pPr>
        <w:pStyle w:val="TOC3"/>
        <w:rPr>
          <w:rFonts w:asciiTheme="minorHAnsi" w:eastAsiaTheme="minorEastAsia" w:hAnsiTheme="minorHAnsi" w:cstheme="minorBidi"/>
          <w:noProof/>
          <w:sz w:val="24"/>
          <w:szCs w:val="24"/>
          <w:lang w:eastAsia="ja-JP"/>
        </w:rPr>
      </w:pPr>
      <w:r>
        <w:rPr>
          <w:noProof/>
        </w:rPr>
        <w:t>Diversity cases are a big part of the rising federal caseload: Over 108,000 diversity cases in 2011</w:t>
      </w:r>
      <w:r>
        <w:rPr>
          <w:noProof/>
        </w:rPr>
        <w:tab/>
      </w:r>
      <w:r>
        <w:rPr>
          <w:noProof/>
        </w:rPr>
        <w:fldChar w:fldCharType="begin"/>
      </w:r>
      <w:r>
        <w:rPr>
          <w:noProof/>
        </w:rPr>
        <w:instrText xml:space="preserve"> PAGEREF _Toc304984168 \h </w:instrText>
      </w:r>
      <w:r>
        <w:rPr>
          <w:noProof/>
        </w:rPr>
      </w:r>
      <w:r>
        <w:rPr>
          <w:noProof/>
        </w:rPr>
        <w:fldChar w:fldCharType="separate"/>
      </w:r>
      <w:r w:rsidR="0008718F">
        <w:rPr>
          <w:noProof/>
        </w:rPr>
        <w:t>13</w:t>
      </w:r>
      <w:r>
        <w:rPr>
          <w:noProof/>
        </w:rPr>
        <w:fldChar w:fldCharType="end"/>
      </w:r>
    </w:p>
    <w:p w14:paraId="112309BA" w14:textId="77777777" w:rsidR="0091104A" w:rsidRDefault="0091104A">
      <w:pPr>
        <w:pStyle w:val="TOC3"/>
        <w:rPr>
          <w:rFonts w:asciiTheme="minorHAnsi" w:eastAsiaTheme="minorEastAsia" w:hAnsiTheme="minorHAnsi" w:cstheme="minorBidi"/>
          <w:noProof/>
          <w:sz w:val="24"/>
          <w:szCs w:val="24"/>
          <w:lang w:eastAsia="ja-JP"/>
        </w:rPr>
      </w:pPr>
      <w:r>
        <w:rPr>
          <w:noProof/>
        </w:rPr>
        <w:t>Status Quo policies aren’t reducing the federal caseload</w:t>
      </w:r>
      <w:r>
        <w:rPr>
          <w:noProof/>
        </w:rPr>
        <w:tab/>
      </w:r>
      <w:r>
        <w:rPr>
          <w:noProof/>
        </w:rPr>
        <w:fldChar w:fldCharType="begin"/>
      </w:r>
      <w:r>
        <w:rPr>
          <w:noProof/>
        </w:rPr>
        <w:instrText xml:space="preserve"> PAGEREF _Toc304984169 \h </w:instrText>
      </w:r>
      <w:r>
        <w:rPr>
          <w:noProof/>
        </w:rPr>
      </w:r>
      <w:r>
        <w:rPr>
          <w:noProof/>
        </w:rPr>
        <w:fldChar w:fldCharType="separate"/>
      </w:r>
      <w:r w:rsidR="0008718F">
        <w:rPr>
          <w:noProof/>
        </w:rPr>
        <w:t>13</w:t>
      </w:r>
      <w:r>
        <w:rPr>
          <w:noProof/>
        </w:rPr>
        <w:fldChar w:fldCharType="end"/>
      </w:r>
    </w:p>
    <w:p w14:paraId="0838D0A2" w14:textId="77777777" w:rsidR="0091104A" w:rsidRDefault="0091104A">
      <w:pPr>
        <w:pStyle w:val="TOC3"/>
        <w:rPr>
          <w:rFonts w:asciiTheme="minorHAnsi" w:eastAsiaTheme="minorEastAsia" w:hAnsiTheme="minorHAnsi" w:cstheme="minorBidi"/>
          <w:noProof/>
          <w:sz w:val="24"/>
          <w:szCs w:val="24"/>
          <w:lang w:eastAsia="ja-JP"/>
        </w:rPr>
      </w:pPr>
      <w:r>
        <w:rPr>
          <w:noProof/>
        </w:rPr>
        <w:t>“Fill judicial vacancies to solve” – Response:  Vacancies aren’t the problem, vacancy rate is &lt;5%</w:t>
      </w:r>
      <w:r>
        <w:rPr>
          <w:noProof/>
        </w:rPr>
        <w:tab/>
      </w:r>
      <w:r>
        <w:rPr>
          <w:noProof/>
        </w:rPr>
        <w:fldChar w:fldCharType="begin"/>
      </w:r>
      <w:r>
        <w:rPr>
          <w:noProof/>
        </w:rPr>
        <w:instrText xml:space="preserve"> PAGEREF _Toc304984170 \h </w:instrText>
      </w:r>
      <w:r>
        <w:rPr>
          <w:noProof/>
        </w:rPr>
      </w:r>
      <w:r>
        <w:rPr>
          <w:noProof/>
        </w:rPr>
        <w:fldChar w:fldCharType="separate"/>
      </w:r>
      <w:r w:rsidR="0008718F">
        <w:rPr>
          <w:noProof/>
        </w:rPr>
        <w:t>13</w:t>
      </w:r>
      <w:r>
        <w:rPr>
          <w:noProof/>
        </w:rPr>
        <w:fldChar w:fldCharType="end"/>
      </w:r>
    </w:p>
    <w:p w14:paraId="06A882D7" w14:textId="77777777" w:rsidR="0091104A" w:rsidRDefault="0091104A">
      <w:pPr>
        <w:pStyle w:val="TOC2"/>
        <w:rPr>
          <w:rFonts w:asciiTheme="minorHAnsi" w:eastAsiaTheme="minorEastAsia" w:hAnsiTheme="minorHAnsi" w:cstheme="minorBidi"/>
          <w:noProof/>
          <w:sz w:val="24"/>
          <w:szCs w:val="24"/>
          <w:lang w:eastAsia="ja-JP"/>
        </w:rPr>
      </w:pPr>
      <w:r>
        <w:rPr>
          <w:noProof/>
        </w:rPr>
        <w:t>ADVOCACY / ADVANTAGES</w:t>
      </w:r>
      <w:r>
        <w:rPr>
          <w:noProof/>
        </w:rPr>
        <w:tab/>
      </w:r>
      <w:r>
        <w:rPr>
          <w:noProof/>
        </w:rPr>
        <w:fldChar w:fldCharType="begin"/>
      </w:r>
      <w:r>
        <w:rPr>
          <w:noProof/>
        </w:rPr>
        <w:instrText xml:space="preserve"> PAGEREF _Toc304984171 \h </w:instrText>
      </w:r>
      <w:r>
        <w:rPr>
          <w:noProof/>
        </w:rPr>
      </w:r>
      <w:r>
        <w:rPr>
          <w:noProof/>
        </w:rPr>
        <w:fldChar w:fldCharType="separate"/>
      </w:r>
      <w:r w:rsidR="0008718F">
        <w:rPr>
          <w:noProof/>
        </w:rPr>
        <w:t>14</w:t>
      </w:r>
      <w:r>
        <w:rPr>
          <w:noProof/>
        </w:rPr>
        <w:fldChar w:fldCharType="end"/>
      </w:r>
    </w:p>
    <w:p w14:paraId="09B01720" w14:textId="77777777" w:rsidR="0091104A" w:rsidRDefault="0091104A">
      <w:pPr>
        <w:pStyle w:val="TOC3"/>
        <w:rPr>
          <w:rFonts w:asciiTheme="minorHAnsi" w:eastAsiaTheme="minorEastAsia" w:hAnsiTheme="minorHAnsi" w:cstheme="minorBidi"/>
          <w:noProof/>
          <w:sz w:val="24"/>
          <w:szCs w:val="24"/>
          <w:lang w:eastAsia="ja-JP"/>
        </w:rPr>
      </w:pPr>
      <w:r>
        <w:rPr>
          <w:noProof/>
        </w:rPr>
        <w:t>Lots of experts over the last 100 years have advocated abolishing diversity jurisdiction</w:t>
      </w:r>
      <w:r>
        <w:rPr>
          <w:noProof/>
        </w:rPr>
        <w:tab/>
      </w:r>
      <w:r>
        <w:rPr>
          <w:noProof/>
        </w:rPr>
        <w:fldChar w:fldCharType="begin"/>
      </w:r>
      <w:r>
        <w:rPr>
          <w:noProof/>
        </w:rPr>
        <w:instrText xml:space="preserve"> PAGEREF _Toc304984172 \h </w:instrText>
      </w:r>
      <w:r>
        <w:rPr>
          <w:noProof/>
        </w:rPr>
      </w:r>
      <w:r>
        <w:rPr>
          <w:noProof/>
        </w:rPr>
        <w:fldChar w:fldCharType="separate"/>
      </w:r>
      <w:r w:rsidR="0008718F">
        <w:rPr>
          <w:noProof/>
        </w:rPr>
        <w:t>14</w:t>
      </w:r>
      <w:r>
        <w:rPr>
          <w:noProof/>
        </w:rPr>
        <w:fldChar w:fldCharType="end"/>
      </w:r>
    </w:p>
    <w:p w14:paraId="4373CFC3" w14:textId="77777777" w:rsidR="0091104A" w:rsidRDefault="0091104A">
      <w:pPr>
        <w:pStyle w:val="TOC3"/>
        <w:rPr>
          <w:rFonts w:asciiTheme="minorHAnsi" w:eastAsiaTheme="minorEastAsia" w:hAnsiTheme="minorHAnsi" w:cstheme="minorBidi"/>
          <w:noProof/>
          <w:sz w:val="24"/>
          <w:szCs w:val="24"/>
          <w:lang w:eastAsia="ja-JP"/>
        </w:rPr>
      </w:pPr>
      <w:r>
        <w:rPr>
          <w:noProof/>
        </w:rPr>
        <w:t>Widespread advocacy for abolishing diversity jurisdiction:  Would reduce caseloads and put the cases back in State courts where they belong</w:t>
      </w:r>
      <w:r>
        <w:rPr>
          <w:noProof/>
        </w:rPr>
        <w:tab/>
      </w:r>
      <w:r>
        <w:rPr>
          <w:noProof/>
        </w:rPr>
        <w:fldChar w:fldCharType="begin"/>
      </w:r>
      <w:r>
        <w:rPr>
          <w:noProof/>
        </w:rPr>
        <w:instrText xml:space="preserve"> PAGEREF _Toc304984173 \h </w:instrText>
      </w:r>
      <w:r>
        <w:rPr>
          <w:noProof/>
        </w:rPr>
      </w:r>
      <w:r>
        <w:rPr>
          <w:noProof/>
        </w:rPr>
        <w:fldChar w:fldCharType="separate"/>
      </w:r>
      <w:r w:rsidR="0008718F">
        <w:rPr>
          <w:noProof/>
        </w:rPr>
        <w:t>15</w:t>
      </w:r>
      <w:r>
        <w:rPr>
          <w:noProof/>
        </w:rPr>
        <w:fldChar w:fldCharType="end"/>
      </w:r>
    </w:p>
    <w:p w14:paraId="4CF63AF7" w14:textId="77777777" w:rsidR="0091104A" w:rsidRDefault="0091104A">
      <w:pPr>
        <w:pStyle w:val="TOC3"/>
        <w:rPr>
          <w:rFonts w:asciiTheme="minorHAnsi" w:eastAsiaTheme="minorEastAsia" w:hAnsiTheme="minorHAnsi" w:cstheme="minorBidi"/>
          <w:noProof/>
          <w:sz w:val="24"/>
          <w:szCs w:val="24"/>
          <w:lang w:eastAsia="ja-JP"/>
        </w:rPr>
      </w:pPr>
      <w:r>
        <w:rPr>
          <w:noProof/>
        </w:rPr>
        <w:t>The original reasons for diversity jurisdiction have disappeared: Now it’s just an unnecessary distraction for federal courts</w:t>
      </w:r>
      <w:r>
        <w:rPr>
          <w:noProof/>
        </w:rPr>
        <w:tab/>
      </w:r>
      <w:r>
        <w:rPr>
          <w:noProof/>
        </w:rPr>
        <w:fldChar w:fldCharType="begin"/>
      </w:r>
      <w:r>
        <w:rPr>
          <w:noProof/>
        </w:rPr>
        <w:instrText xml:space="preserve"> PAGEREF _Toc304984174 \h </w:instrText>
      </w:r>
      <w:r>
        <w:rPr>
          <w:noProof/>
        </w:rPr>
      </w:r>
      <w:r>
        <w:rPr>
          <w:noProof/>
        </w:rPr>
        <w:fldChar w:fldCharType="separate"/>
      </w:r>
      <w:r w:rsidR="0008718F">
        <w:rPr>
          <w:noProof/>
        </w:rPr>
        <w:t>15</w:t>
      </w:r>
      <w:r>
        <w:rPr>
          <w:noProof/>
        </w:rPr>
        <w:fldChar w:fldCharType="end"/>
      </w:r>
    </w:p>
    <w:p w14:paraId="1D40E861" w14:textId="77777777" w:rsidR="0091104A" w:rsidRDefault="0091104A">
      <w:pPr>
        <w:pStyle w:val="TOC3"/>
        <w:rPr>
          <w:rFonts w:asciiTheme="minorHAnsi" w:eastAsiaTheme="minorEastAsia" w:hAnsiTheme="minorHAnsi" w:cstheme="minorBidi"/>
          <w:noProof/>
          <w:sz w:val="24"/>
          <w:szCs w:val="24"/>
          <w:lang w:eastAsia="ja-JP"/>
        </w:rPr>
      </w:pPr>
      <w:r>
        <w:rPr>
          <w:noProof/>
        </w:rPr>
        <w:t>Diversity cases would be better handled in State courts, since they’re not dealing with federal law</w:t>
      </w:r>
      <w:r>
        <w:rPr>
          <w:noProof/>
        </w:rPr>
        <w:tab/>
      </w:r>
      <w:r>
        <w:rPr>
          <w:noProof/>
        </w:rPr>
        <w:fldChar w:fldCharType="begin"/>
      </w:r>
      <w:r>
        <w:rPr>
          <w:noProof/>
        </w:rPr>
        <w:instrText xml:space="preserve"> PAGEREF _Toc304984175 \h </w:instrText>
      </w:r>
      <w:r>
        <w:rPr>
          <w:noProof/>
        </w:rPr>
      </w:r>
      <w:r>
        <w:rPr>
          <w:noProof/>
        </w:rPr>
        <w:fldChar w:fldCharType="separate"/>
      </w:r>
      <w:r w:rsidR="0008718F">
        <w:rPr>
          <w:noProof/>
        </w:rPr>
        <w:t>16</w:t>
      </w:r>
      <w:r>
        <w:rPr>
          <w:noProof/>
        </w:rPr>
        <w:fldChar w:fldCharType="end"/>
      </w:r>
    </w:p>
    <w:p w14:paraId="5E1F9220" w14:textId="77777777" w:rsidR="0091104A" w:rsidRDefault="0091104A">
      <w:pPr>
        <w:pStyle w:val="TOC3"/>
        <w:rPr>
          <w:rFonts w:asciiTheme="minorHAnsi" w:eastAsiaTheme="minorEastAsia" w:hAnsiTheme="minorHAnsi" w:cstheme="minorBidi"/>
          <w:noProof/>
          <w:sz w:val="24"/>
          <w:szCs w:val="24"/>
          <w:lang w:eastAsia="ja-JP"/>
        </w:rPr>
      </w:pPr>
      <w:r>
        <w:rPr>
          <w:noProof/>
        </w:rPr>
        <w:t>Reducing diversity cases would reduce an exceptionally large portion of the federal caseload</w:t>
      </w:r>
      <w:r>
        <w:rPr>
          <w:noProof/>
        </w:rPr>
        <w:tab/>
      </w:r>
      <w:r>
        <w:rPr>
          <w:noProof/>
        </w:rPr>
        <w:fldChar w:fldCharType="begin"/>
      </w:r>
      <w:r>
        <w:rPr>
          <w:noProof/>
        </w:rPr>
        <w:instrText xml:space="preserve"> PAGEREF _Toc304984176 \h </w:instrText>
      </w:r>
      <w:r>
        <w:rPr>
          <w:noProof/>
        </w:rPr>
      </w:r>
      <w:r>
        <w:rPr>
          <w:noProof/>
        </w:rPr>
        <w:fldChar w:fldCharType="separate"/>
      </w:r>
      <w:r w:rsidR="0008718F">
        <w:rPr>
          <w:noProof/>
        </w:rPr>
        <w:t>16</w:t>
      </w:r>
      <w:r>
        <w:rPr>
          <w:noProof/>
        </w:rPr>
        <w:fldChar w:fldCharType="end"/>
      </w:r>
    </w:p>
    <w:p w14:paraId="7C35BB00" w14:textId="77777777" w:rsidR="0091104A" w:rsidRDefault="0091104A">
      <w:pPr>
        <w:pStyle w:val="TOC3"/>
        <w:rPr>
          <w:rFonts w:asciiTheme="minorHAnsi" w:eastAsiaTheme="minorEastAsia" w:hAnsiTheme="minorHAnsi" w:cstheme="minorBidi"/>
          <w:noProof/>
          <w:sz w:val="24"/>
          <w:szCs w:val="24"/>
          <w:lang w:eastAsia="ja-JP"/>
        </w:rPr>
      </w:pPr>
      <w:r>
        <w:rPr>
          <w:noProof/>
        </w:rPr>
        <w:t>Diversity cases should be in State court, not federal:  States are better at judging their own laws</w:t>
      </w:r>
      <w:r>
        <w:rPr>
          <w:noProof/>
        </w:rPr>
        <w:tab/>
      </w:r>
      <w:r>
        <w:rPr>
          <w:noProof/>
        </w:rPr>
        <w:fldChar w:fldCharType="begin"/>
      </w:r>
      <w:r>
        <w:rPr>
          <w:noProof/>
        </w:rPr>
        <w:instrText xml:space="preserve"> PAGEREF _Toc304984177 \h </w:instrText>
      </w:r>
      <w:r>
        <w:rPr>
          <w:noProof/>
        </w:rPr>
      </w:r>
      <w:r>
        <w:rPr>
          <w:noProof/>
        </w:rPr>
        <w:fldChar w:fldCharType="separate"/>
      </w:r>
      <w:r w:rsidR="0008718F">
        <w:rPr>
          <w:noProof/>
        </w:rPr>
        <w:t>16</w:t>
      </w:r>
      <w:r>
        <w:rPr>
          <w:noProof/>
        </w:rPr>
        <w:fldChar w:fldCharType="end"/>
      </w:r>
    </w:p>
    <w:p w14:paraId="3453E5FD" w14:textId="77777777" w:rsidR="0091104A" w:rsidRDefault="0091104A">
      <w:pPr>
        <w:pStyle w:val="TOC3"/>
        <w:rPr>
          <w:rFonts w:asciiTheme="minorHAnsi" w:eastAsiaTheme="minorEastAsia" w:hAnsiTheme="minorHAnsi" w:cstheme="minorBidi"/>
          <w:noProof/>
          <w:sz w:val="24"/>
          <w:szCs w:val="24"/>
          <w:lang w:eastAsia="ja-JP"/>
        </w:rPr>
      </w:pPr>
      <w:r>
        <w:rPr>
          <w:noProof/>
        </w:rPr>
        <w:t>Diversity cases in State courts are better: State courts deciding state law are better than federal courts deciding state law</w:t>
      </w:r>
      <w:r>
        <w:rPr>
          <w:noProof/>
        </w:rPr>
        <w:tab/>
      </w:r>
      <w:r>
        <w:rPr>
          <w:noProof/>
        </w:rPr>
        <w:fldChar w:fldCharType="begin"/>
      </w:r>
      <w:r>
        <w:rPr>
          <w:noProof/>
        </w:rPr>
        <w:instrText xml:space="preserve"> PAGEREF _Toc304984178 \h </w:instrText>
      </w:r>
      <w:r>
        <w:rPr>
          <w:noProof/>
        </w:rPr>
      </w:r>
      <w:r>
        <w:rPr>
          <w:noProof/>
        </w:rPr>
        <w:fldChar w:fldCharType="separate"/>
      </w:r>
      <w:r w:rsidR="0008718F">
        <w:rPr>
          <w:noProof/>
        </w:rPr>
        <w:t>17</w:t>
      </w:r>
      <w:r>
        <w:rPr>
          <w:noProof/>
        </w:rPr>
        <w:fldChar w:fldCharType="end"/>
      </w:r>
    </w:p>
    <w:p w14:paraId="11AADF79" w14:textId="77777777" w:rsidR="0091104A" w:rsidRDefault="0091104A">
      <w:pPr>
        <w:pStyle w:val="TOC3"/>
        <w:rPr>
          <w:rFonts w:asciiTheme="minorHAnsi" w:eastAsiaTheme="minorEastAsia" w:hAnsiTheme="minorHAnsi" w:cstheme="minorBidi"/>
          <w:noProof/>
          <w:sz w:val="24"/>
          <w:szCs w:val="24"/>
          <w:lang w:eastAsia="ja-JP"/>
        </w:rPr>
      </w:pPr>
      <w:r>
        <w:rPr>
          <w:noProof/>
        </w:rPr>
        <w:t>Sending diversity cases to State courts would improve State courts by providing incentives for reform and innovation</w:t>
      </w:r>
      <w:r>
        <w:rPr>
          <w:noProof/>
        </w:rPr>
        <w:tab/>
      </w:r>
      <w:r>
        <w:rPr>
          <w:noProof/>
        </w:rPr>
        <w:fldChar w:fldCharType="begin"/>
      </w:r>
      <w:r>
        <w:rPr>
          <w:noProof/>
        </w:rPr>
        <w:instrText xml:space="preserve"> PAGEREF _Toc304984179 \h </w:instrText>
      </w:r>
      <w:r>
        <w:rPr>
          <w:noProof/>
        </w:rPr>
      </w:r>
      <w:r>
        <w:rPr>
          <w:noProof/>
        </w:rPr>
        <w:fldChar w:fldCharType="separate"/>
      </w:r>
      <w:r w:rsidR="0008718F">
        <w:rPr>
          <w:noProof/>
        </w:rPr>
        <w:t>17</w:t>
      </w:r>
      <w:r>
        <w:rPr>
          <w:noProof/>
        </w:rPr>
        <w:fldChar w:fldCharType="end"/>
      </w:r>
    </w:p>
    <w:p w14:paraId="634BE026" w14:textId="77777777" w:rsidR="0091104A" w:rsidRDefault="0091104A">
      <w:pPr>
        <w:pStyle w:val="TOC3"/>
        <w:rPr>
          <w:rFonts w:asciiTheme="minorHAnsi" w:eastAsiaTheme="minorEastAsia" w:hAnsiTheme="minorHAnsi" w:cstheme="minorBidi"/>
          <w:noProof/>
          <w:sz w:val="24"/>
          <w:szCs w:val="24"/>
          <w:lang w:eastAsia="ja-JP"/>
        </w:rPr>
      </w:pPr>
      <w:r>
        <w:rPr>
          <w:noProof/>
        </w:rPr>
        <w:t>Better decision-making on Federal law:  Removing diversity cases leaves Federal courts more time for Federal issues</w:t>
      </w:r>
      <w:r>
        <w:rPr>
          <w:noProof/>
        </w:rPr>
        <w:tab/>
      </w:r>
      <w:r>
        <w:rPr>
          <w:noProof/>
        </w:rPr>
        <w:fldChar w:fldCharType="begin"/>
      </w:r>
      <w:r>
        <w:rPr>
          <w:noProof/>
        </w:rPr>
        <w:instrText xml:space="preserve"> PAGEREF _Toc304984180 \h </w:instrText>
      </w:r>
      <w:r>
        <w:rPr>
          <w:noProof/>
        </w:rPr>
      </w:r>
      <w:r>
        <w:rPr>
          <w:noProof/>
        </w:rPr>
        <w:fldChar w:fldCharType="separate"/>
      </w:r>
      <w:r w:rsidR="0008718F">
        <w:rPr>
          <w:noProof/>
        </w:rPr>
        <w:t>18</w:t>
      </w:r>
      <w:r>
        <w:rPr>
          <w:noProof/>
        </w:rPr>
        <w:fldChar w:fldCharType="end"/>
      </w:r>
    </w:p>
    <w:p w14:paraId="70E2FEAC" w14:textId="77777777" w:rsidR="0091104A" w:rsidRDefault="0091104A">
      <w:pPr>
        <w:pStyle w:val="TOC3"/>
        <w:rPr>
          <w:rFonts w:asciiTheme="minorHAnsi" w:eastAsiaTheme="minorEastAsia" w:hAnsiTheme="minorHAnsi" w:cstheme="minorBidi"/>
          <w:noProof/>
          <w:sz w:val="24"/>
          <w:szCs w:val="24"/>
          <w:lang w:eastAsia="ja-JP"/>
        </w:rPr>
      </w:pPr>
      <w:r>
        <w:rPr>
          <w:noProof/>
        </w:rPr>
        <w:t>Congress has the power to set or limit diversity jurisdiction of federal courts</w:t>
      </w:r>
      <w:r>
        <w:rPr>
          <w:noProof/>
        </w:rPr>
        <w:tab/>
      </w:r>
      <w:r>
        <w:rPr>
          <w:noProof/>
        </w:rPr>
        <w:fldChar w:fldCharType="begin"/>
      </w:r>
      <w:r>
        <w:rPr>
          <w:noProof/>
        </w:rPr>
        <w:instrText xml:space="preserve"> PAGEREF _Toc304984181 \h </w:instrText>
      </w:r>
      <w:r>
        <w:rPr>
          <w:noProof/>
        </w:rPr>
      </w:r>
      <w:r>
        <w:rPr>
          <w:noProof/>
        </w:rPr>
        <w:fldChar w:fldCharType="separate"/>
      </w:r>
      <w:r w:rsidR="0008718F">
        <w:rPr>
          <w:noProof/>
        </w:rPr>
        <w:t>18</w:t>
      </w:r>
      <w:r>
        <w:rPr>
          <w:noProof/>
        </w:rPr>
        <w:fldChar w:fldCharType="end"/>
      </w:r>
    </w:p>
    <w:p w14:paraId="4F5109C4" w14:textId="77777777" w:rsidR="0091104A" w:rsidRDefault="0091104A">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_Toc304984182 \h </w:instrText>
      </w:r>
      <w:r>
        <w:rPr>
          <w:noProof/>
        </w:rPr>
      </w:r>
      <w:r>
        <w:rPr>
          <w:noProof/>
        </w:rPr>
        <w:fldChar w:fldCharType="separate"/>
      </w:r>
      <w:r w:rsidR="0008718F">
        <w:rPr>
          <w:noProof/>
        </w:rPr>
        <w:t>18</w:t>
      </w:r>
      <w:r>
        <w:rPr>
          <w:noProof/>
        </w:rPr>
        <w:fldChar w:fldCharType="end"/>
      </w:r>
    </w:p>
    <w:p w14:paraId="72F072A6" w14:textId="77777777" w:rsidR="0091104A" w:rsidRDefault="0091104A">
      <w:pPr>
        <w:pStyle w:val="TOC3"/>
        <w:rPr>
          <w:rFonts w:asciiTheme="minorHAnsi" w:eastAsiaTheme="minorEastAsia" w:hAnsiTheme="minorHAnsi" w:cstheme="minorBidi"/>
          <w:noProof/>
          <w:sz w:val="24"/>
          <w:szCs w:val="24"/>
          <w:lang w:eastAsia="ja-JP"/>
        </w:rPr>
      </w:pPr>
      <w:r>
        <w:rPr>
          <w:noProof/>
        </w:rPr>
        <w:t>“Protection from local prejudice” – Response: Not really needed today</w:t>
      </w:r>
      <w:r>
        <w:rPr>
          <w:noProof/>
        </w:rPr>
        <w:tab/>
      </w:r>
      <w:r>
        <w:rPr>
          <w:noProof/>
        </w:rPr>
        <w:fldChar w:fldCharType="begin"/>
      </w:r>
      <w:r>
        <w:rPr>
          <w:noProof/>
        </w:rPr>
        <w:instrText xml:space="preserve"> PAGEREF _Toc304984183 \h </w:instrText>
      </w:r>
      <w:r>
        <w:rPr>
          <w:noProof/>
        </w:rPr>
      </w:r>
      <w:r>
        <w:rPr>
          <w:noProof/>
        </w:rPr>
        <w:fldChar w:fldCharType="separate"/>
      </w:r>
      <w:r w:rsidR="0008718F">
        <w:rPr>
          <w:noProof/>
        </w:rPr>
        <w:t>18</w:t>
      </w:r>
      <w:r>
        <w:rPr>
          <w:noProof/>
        </w:rPr>
        <w:fldChar w:fldCharType="end"/>
      </w:r>
    </w:p>
    <w:p w14:paraId="0D6B5154" w14:textId="77777777" w:rsidR="0091104A" w:rsidRDefault="0091104A">
      <w:pPr>
        <w:pStyle w:val="TOC3"/>
        <w:rPr>
          <w:rFonts w:asciiTheme="minorHAnsi" w:eastAsiaTheme="minorEastAsia" w:hAnsiTheme="minorHAnsi" w:cstheme="minorBidi"/>
          <w:noProof/>
          <w:sz w:val="24"/>
          <w:szCs w:val="24"/>
          <w:lang w:eastAsia="ja-JP"/>
        </w:rPr>
      </w:pPr>
      <w:r>
        <w:rPr>
          <w:noProof/>
        </w:rPr>
        <w:t>“Protection of commercial interests” – Response:  Not really needed and not really achieved by diversity jurisdiction</w:t>
      </w:r>
      <w:r>
        <w:rPr>
          <w:noProof/>
        </w:rPr>
        <w:tab/>
      </w:r>
      <w:r>
        <w:rPr>
          <w:noProof/>
        </w:rPr>
        <w:fldChar w:fldCharType="begin"/>
      </w:r>
      <w:r>
        <w:rPr>
          <w:noProof/>
        </w:rPr>
        <w:instrText xml:space="preserve"> PAGEREF _Toc304984184 \h </w:instrText>
      </w:r>
      <w:r>
        <w:rPr>
          <w:noProof/>
        </w:rPr>
      </w:r>
      <w:r>
        <w:rPr>
          <w:noProof/>
        </w:rPr>
        <w:fldChar w:fldCharType="separate"/>
      </w:r>
      <w:r w:rsidR="0008718F">
        <w:rPr>
          <w:noProof/>
        </w:rPr>
        <w:t>18</w:t>
      </w:r>
      <w:r>
        <w:rPr>
          <w:noProof/>
        </w:rPr>
        <w:fldChar w:fldCharType="end"/>
      </w:r>
    </w:p>
    <w:p w14:paraId="691BC347" w14:textId="77777777" w:rsidR="0091104A" w:rsidRDefault="0091104A">
      <w:pPr>
        <w:pStyle w:val="TOC3"/>
        <w:rPr>
          <w:rFonts w:asciiTheme="minorHAnsi" w:eastAsiaTheme="minorEastAsia" w:hAnsiTheme="minorHAnsi" w:cstheme="minorBidi"/>
          <w:noProof/>
          <w:sz w:val="24"/>
          <w:szCs w:val="24"/>
          <w:lang w:eastAsia="ja-JP"/>
        </w:rPr>
      </w:pPr>
      <w:r>
        <w:rPr>
          <w:noProof/>
        </w:rPr>
        <w:t>Federal courts aren’t necessarily “better” than state courts</w:t>
      </w:r>
      <w:r>
        <w:rPr>
          <w:noProof/>
        </w:rPr>
        <w:tab/>
      </w:r>
      <w:r>
        <w:rPr>
          <w:noProof/>
        </w:rPr>
        <w:fldChar w:fldCharType="begin"/>
      </w:r>
      <w:r>
        <w:rPr>
          <w:noProof/>
        </w:rPr>
        <w:instrText xml:space="preserve"> PAGEREF _Toc304984185 \h </w:instrText>
      </w:r>
      <w:r>
        <w:rPr>
          <w:noProof/>
        </w:rPr>
      </w:r>
      <w:r>
        <w:rPr>
          <w:noProof/>
        </w:rPr>
        <w:fldChar w:fldCharType="separate"/>
      </w:r>
      <w:r w:rsidR="0008718F">
        <w:rPr>
          <w:noProof/>
        </w:rPr>
        <w:t>19</w:t>
      </w:r>
      <w:r>
        <w:rPr>
          <w:noProof/>
        </w:rPr>
        <w:fldChar w:fldCharType="end"/>
      </w:r>
    </w:p>
    <w:p w14:paraId="691F6ABC" w14:textId="77777777" w:rsidR="0091104A" w:rsidRDefault="0091104A">
      <w:pPr>
        <w:pStyle w:val="TOC3"/>
        <w:rPr>
          <w:rFonts w:asciiTheme="minorHAnsi" w:eastAsiaTheme="minorEastAsia" w:hAnsiTheme="minorHAnsi" w:cstheme="minorBidi"/>
          <w:noProof/>
          <w:sz w:val="24"/>
          <w:szCs w:val="24"/>
          <w:lang w:eastAsia="ja-JP"/>
        </w:rPr>
      </w:pPr>
      <w:r>
        <w:rPr>
          <w:noProof/>
        </w:rPr>
        <w:t>“Choice of forum is good” – Response:  Actually, it’s bad and another argument against diversity</w:t>
      </w:r>
      <w:r>
        <w:rPr>
          <w:noProof/>
        </w:rPr>
        <w:tab/>
      </w:r>
      <w:r>
        <w:rPr>
          <w:noProof/>
        </w:rPr>
        <w:fldChar w:fldCharType="begin"/>
      </w:r>
      <w:r>
        <w:rPr>
          <w:noProof/>
        </w:rPr>
        <w:instrText xml:space="preserve"> PAGEREF _Toc304984186 \h </w:instrText>
      </w:r>
      <w:r>
        <w:rPr>
          <w:noProof/>
        </w:rPr>
      </w:r>
      <w:r>
        <w:rPr>
          <w:noProof/>
        </w:rPr>
        <w:fldChar w:fldCharType="separate"/>
      </w:r>
      <w:r w:rsidR="0008718F">
        <w:rPr>
          <w:noProof/>
        </w:rPr>
        <w:t>19</w:t>
      </w:r>
      <w:r>
        <w:rPr>
          <w:noProof/>
        </w:rPr>
        <w:fldChar w:fldCharType="end"/>
      </w:r>
    </w:p>
    <w:p w14:paraId="754E965F" w14:textId="77777777" w:rsidR="0091104A" w:rsidRDefault="0091104A">
      <w:pPr>
        <w:pStyle w:val="TOC3"/>
        <w:rPr>
          <w:rFonts w:asciiTheme="minorHAnsi" w:eastAsiaTheme="minorEastAsia" w:hAnsiTheme="minorHAnsi" w:cstheme="minorBidi"/>
          <w:noProof/>
          <w:sz w:val="24"/>
          <w:szCs w:val="24"/>
          <w:lang w:eastAsia="ja-JP"/>
        </w:rPr>
      </w:pPr>
      <w:r>
        <w:rPr>
          <w:noProof/>
        </w:rPr>
        <w:t>In-depth analysis of why choice of forums is bad, not good: It rewards weak cases and promotes a “race to the bottom” in search of poor judges</w:t>
      </w:r>
      <w:r>
        <w:rPr>
          <w:noProof/>
        </w:rPr>
        <w:tab/>
      </w:r>
      <w:r>
        <w:rPr>
          <w:noProof/>
        </w:rPr>
        <w:fldChar w:fldCharType="begin"/>
      </w:r>
      <w:r>
        <w:rPr>
          <w:noProof/>
        </w:rPr>
        <w:instrText xml:space="preserve"> PAGEREF _Toc304984187 \h </w:instrText>
      </w:r>
      <w:r>
        <w:rPr>
          <w:noProof/>
        </w:rPr>
      </w:r>
      <w:r>
        <w:rPr>
          <w:noProof/>
        </w:rPr>
        <w:fldChar w:fldCharType="separate"/>
      </w:r>
      <w:r w:rsidR="0008718F">
        <w:rPr>
          <w:noProof/>
        </w:rPr>
        <w:t>19</w:t>
      </w:r>
      <w:r>
        <w:rPr>
          <w:noProof/>
        </w:rPr>
        <w:fldChar w:fldCharType="end"/>
      </w:r>
    </w:p>
    <w:p w14:paraId="62EB9FD0" w14:textId="77777777" w:rsidR="0091104A" w:rsidRDefault="0091104A">
      <w:pPr>
        <w:pStyle w:val="TOC3"/>
        <w:rPr>
          <w:rFonts w:asciiTheme="minorHAnsi" w:eastAsiaTheme="minorEastAsia" w:hAnsiTheme="minorHAnsi" w:cstheme="minorBidi"/>
          <w:noProof/>
          <w:sz w:val="24"/>
          <w:szCs w:val="24"/>
          <w:lang w:eastAsia="ja-JP"/>
        </w:rPr>
      </w:pPr>
      <w:r>
        <w:rPr>
          <w:noProof/>
        </w:rPr>
        <w:t>“Choice of forum is good” – Response:  Based on a fallacy that choice is being made with good motives</w:t>
      </w:r>
      <w:r>
        <w:rPr>
          <w:noProof/>
        </w:rPr>
        <w:tab/>
      </w:r>
      <w:r>
        <w:rPr>
          <w:noProof/>
        </w:rPr>
        <w:fldChar w:fldCharType="begin"/>
      </w:r>
      <w:r>
        <w:rPr>
          <w:noProof/>
        </w:rPr>
        <w:instrText xml:space="preserve"> PAGEREF _Toc304984188 \h </w:instrText>
      </w:r>
      <w:r>
        <w:rPr>
          <w:noProof/>
        </w:rPr>
      </w:r>
      <w:r>
        <w:rPr>
          <w:noProof/>
        </w:rPr>
        <w:fldChar w:fldCharType="separate"/>
      </w:r>
      <w:r w:rsidR="0008718F">
        <w:rPr>
          <w:noProof/>
        </w:rPr>
        <w:t>19</w:t>
      </w:r>
      <w:r>
        <w:rPr>
          <w:noProof/>
        </w:rPr>
        <w:fldChar w:fldCharType="end"/>
      </w:r>
    </w:p>
    <w:p w14:paraId="045EDE96" w14:textId="77777777" w:rsidR="0091104A" w:rsidRDefault="0091104A">
      <w:pPr>
        <w:pStyle w:val="TOC3"/>
        <w:rPr>
          <w:rFonts w:asciiTheme="minorHAnsi" w:eastAsiaTheme="minorEastAsia" w:hAnsiTheme="minorHAnsi" w:cstheme="minorBidi"/>
          <w:noProof/>
          <w:sz w:val="24"/>
          <w:szCs w:val="24"/>
          <w:lang w:eastAsia="ja-JP"/>
        </w:rPr>
      </w:pPr>
      <w:r>
        <w:rPr>
          <w:noProof/>
        </w:rPr>
        <w:t>“Overwhelm State courts” – Response: States are able and willing to pick up the cases</w:t>
      </w:r>
      <w:r>
        <w:rPr>
          <w:noProof/>
        </w:rPr>
        <w:tab/>
      </w:r>
      <w:r>
        <w:rPr>
          <w:noProof/>
        </w:rPr>
        <w:fldChar w:fldCharType="begin"/>
      </w:r>
      <w:r>
        <w:rPr>
          <w:noProof/>
        </w:rPr>
        <w:instrText xml:space="preserve"> PAGEREF _Toc304984189 \h </w:instrText>
      </w:r>
      <w:r>
        <w:rPr>
          <w:noProof/>
        </w:rPr>
      </w:r>
      <w:r>
        <w:rPr>
          <w:noProof/>
        </w:rPr>
        <w:fldChar w:fldCharType="separate"/>
      </w:r>
      <w:r w:rsidR="0008718F">
        <w:rPr>
          <w:noProof/>
        </w:rPr>
        <w:t>20</w:t>
      </w:r>
      <w:r>
        <w:rPr>
          <w:noProof/>
        </w:rPr>
        <w:fldChar w:fldCharType="end"/>
      </w:r>
    </w:p>
    <w:p w14:paraId="468DC2CF" w14:textId="77777777" w:rsidR="0091104A" w:rsidRDefault="0091104A">
      <w:pPr>
        <w:pStyle w:val="TOC3"/>
        <w:rPr>
          <w:rFonts w:asciiTheme="minorHAnsi" w:eastAsiaTheme="minorEastAsia" w:hAnsiTheme="minorHAnsi" w:cstheme="minorBidi"/>
          <w:noProof/>
          <w:sz w:val="24"/>
          <w:szCs w:val="24"/>
          <w:lang w:eastAsia="ja-JP"/>
        </w:rPr>
      </w:pPr>
      <w:r>
        <w:rPr>
          <w:noProof/>
        </w:rPr>
        <w:t>“Burden on State courts” – Response:  States would not be excessively burdened by diversity cases</w:t>
      </w:r>
      <w:r>
        <w:rPr>
          <w:noProof/>
        </w:rPr>
        <w:tab/>
      </w:r>
      <w:r>
        <w:rPr>
          <w:noProof/>
        </w:rPr>
        <w:fldChar w:fldCharType="begin"/>
      </w:r>
      <w:r>
        <w:rPr>
          <w:noProof/>
        </w:rPr>
        <w:instrText xml:space="preserve"> PAGEREF _Toc304984190 \h </w:instrText>
      </w:r>
      <w:r>
        <w:rPr>
          <w:noProof/>
        </w:rPr>
      </w:r>
      <w:r>
        <w:rPr>
          <w:noProof/>
        </w:rPr>
        <w:fldChar w:fldCharType="separate"/>
      </w:r>
      <w:r w:rsidR="0008718F">
        <w:rPr>
          <w:noProof/>
        </w:rPr>
        <w:t>20</w:t>
      </w:r>
      <w:r>
        <w:rPr>
          <w:noProof/>
        </w:rPr>
        <w:fldChar w:fldCharType="end"/>
      </w:r>
    </w:p>
    <w:p w14:paraId="47776062" w14:textId="77777777" w:rsidR="0091104A" w:rsidRDefault="0091104A">
      <w:pPr>
        <w:pStyle w:val="TOC3"/>
        <w:rPr>
          <w:rFonts w:asciiTheme="minorHAnsi" w:eastAsiaTheme="minorEastAsia" w:hAnsiTheme="minorHAnsi" w:cstheme="minorBidi"/>
          <w:noProof/>
          <w:sz w:val="24"/>
          <w:szCs w:val="24"/>
          <w:lang w:eastAsia="ja-JP"/>
        </w:rPr>
      </w:pPr>
      <w:r>
        <w:rPr>
          <w:noProof/>
        </w:rPr>
        <w:t>“States can’t afford it” – Response: State budgets are in good shape</w:t>
      </w:r>
      <w:r>
        <w:rPr>
          <w:noProof/>
        </w:rPr>
        <w:tab/>
      </w:r>
      <w:r>
        <w:rPr>
          <w:noProof/>
        </w:rPr>
        <w:fldChar w:fldCharType="begin"/>
      </w:r>
      <w:r>
        <w:rPr>
          <w:noProof/>
        </w:rPr>
        <w:instrText xml:space="preserve"> PAGEREF _Toc304984191 \h </w:instrText>
      </w:r>
      <w:r>
        <w:rPr>
          <w:noProof/>
        </w:rPr>
      </w:r>
      <w:r>
        <w:rPr>
          <w:noProof/>
        </w:rPr>
        <w:fldChar w:fldCharType="separate"/>
      </w:r>
      <w:r w:rsidR="0008718F">
        <w:rPr>
          <w:noProof/>
        </w:rPr>
        <w:t>20</w:t>
      </w:r>
      <w:r>
        <w:rPr>
          <w:noProof/>
        </w:rPr>
        <w:fldChar w:fldCharType="end"/>
      </w:r>
    </w:p>
    <w:p w14:paraId="029270D7" w14:textId="77777777" w:rsidR="00AF1D3F" w:rsidRDefault="00AF1D3F" w:rsidP="00AF1D3F">
      <w:pPr>
        <w:pStyle w:val="TOC2"/>
        <w:sectPr w:rsidR="00AF1D3F" w:rsidSect="00AF1D3F">
          <w:headerReference w:type="default" r:id="rId8"/>
          <w:footerReference w:type="default" r:id="rId9"/>
          <w:pgSz w:w="12240" w:h="15840"/>
          <w:pgMar w:top="1440" w:right="1440" w:bottom="1440" w:left="1440" w:header="720" w:footer="720" w:gutter="0"/>
          <w:cols w:space="720"/>
        </w:sectPr>
      </w:pPr>
      <w:r>
        <w:fldChar w:fldCharType="end"/>
      </w:r>
    </w:p>
    <w:p w14:paraId="141250D4" w14:textId="00E97D7D" w:rsidR="00CD2A66" w:rsidRDefault="006B74F8" w:rsidP="0091104A">
      <w:pPr>
        <w:pStyle w:val="Title2"/>
      </w:pPr>
      <w:bookmarkStart w:id="0" w:name="_Toc304984126"/>
      <w:r>
        <w:lastRenderedPageBreak/>
        <w:t>Trials and Tribulations</w:t>
      </w:r>
      <w:r w:rsidR="00CD2A66" w:rsidRPr="00B964DA">
        <w:t>: The Case for</w:t>
      </w:r>
      <w:r w:rsidR="005B462F">
        <w:t xml:space="preserve"> </w:t>
      </w:r>
      <w:r>
        <w:br/>
      </w:r>
      <w:r w:rsidR="00222BBE">
        <w:t>Abolishing Diversity Jurisdiction</w:t>
      </w:r>
      <w:bookmarkEnd w:id="0"/>
      <w:r w:rsidR="00422C88">
        <w:t xml:space="preserve"> </w:t>
      </w:r>
    </w:p>
    <w:p w14:paraId="24BA1181" w14:textId="4250D1D8" w:rsidR="006B74F8" w:rsidRPr="006B74F8" w:rsidRDefault="006B74F8" w:rsidP="006B74F8">
      <w:pPr>
        <w:pStyle w:val="Evidence"/>
        <w:rPr>
          <w:lang w:eastAsia="en-US"/>
        </w:rPr>
      </w:pPr>
      <w:r>
        <w:t>Duke University Law Professor Marvin K. Levy explained the problem in 2014, saying QUOTE: “When recently asked what he thought was one of the greatest problems plaguing the federal judiciary, Supreme Court Justice Samuel Alito responded by saying the “crushing” workload faced by his former colleagues on the courts of appeals.”</w:t>
      </w:r>
      <w:r>
        <w:rPr>
          <w:rStyle w:val="FootnoteReference"/>
        </w:rPr>
        <w:footnoteReference w:id="1"/>
      </w:r>
    </w:p>
    <w:p w14:paraId="08C79CEA" w14:textId="0B98FD42" w:rsidR="00CD2A66" w:rsidRPr="009E4D46" w:rsidRDefault="00245D9D" w:rsidP="009E4D46">
      <w:pPr>
        <w:pStyle w:val="Evidence"/>
      </w:pPr>
      <w:r>
        <w:t xml:space="preserve">END QUOTE. </w:t>
      </w:r>
      <w:r w:rsidR="00F51544">
        <w:t xml:space="preserve">80% of federal court cases are civil cases – like lawsuits. And of those, 35% of them shouldn’t be in federal court at all.   </w:t>
      </w:r>
      <w:r>
        <w:t xml:space="preserve">  </w:t>
      </w:r>
      <w:r w:rsidR="006B74F8">
        <w:t xml:space="preserve">Please join </w:t>
      </w:r>
      <w:r w:rsidR="00684E18">
        <w:t xml:space="preserve">my partner and </w:t>
      </w:r>
      <w:r w:rsidR="006B74F8">
        <w:t xml:space="preserve">me </w:t>
      </w:r>
      <w:r>
        <w:t>as we explain the comparative advantages of</w:t>
      </w:r>
      <w:r w:rsidR="00684E18">
        <w:t xml:space="preserve"> </w:t>
      </w:r>
      <w:r w:rsidR="00CD2A66" w:rsidRPr="009E4D46">
        <w:t>affirm</w:t>
      </w:r>
      <w:r>
        <w:t>ing</w:t>
      </w:r>
      <w:r w:rsidR="00CD2A66" w:rsidRPr="009E4D46">
        <w:t xml:space="preserve">: </w:t>
      </w:r>
      <w:r w:rsidR="00AC6E5A" w:rsidRPr="009E4D46">
        <w:t>That the United States Federal Court system should be significantly reformed</w:t>
      </w:r>
      <w:r w:rsidR="00D72AE2" w:rsidRPr="009E4D46">
        <w:t>.</w:t>
      </w:r>
    </w:p>
    <w:p w14:paraId="6CDB5FFF" w14:textId="7AB2D86E" w:rsidR="00CD2A66" w:rsidRPr="006549D2" w:rsidRDefault="00CD2A66" w:rsidP="006549D2">
      <w:pPr>
        <w:pStyle w:val="Contention1"/>
      </w:pPr>
      <w:bookmarkStart w:id="1" w:name="_Toc304930351"/>
      <w:bookmarkStart w:id="2" w:name="_Toc304984127"/>
      <w:r w:rsidRPr="006549D2">
        <w:t xml:space="preserve">OBSERVATION 1. </w:t>
      </w:r>
      <w:r w:rsidR="00684E18">
        <w:t>Our</w:t>
      </w:r>
      <w:r w:rsidRPr="006549D2">
        <w:t xml:space="preserve"> DEFINITIONS.</w:t>
      </w:r>
      <w:bookmarkEnd w:id="1"/>
      <w:bookmarkEnd w:id="2"/>
    </w:p>
    <w:p w14:paraId="781340DB" w14:textId="10BD5F84" w:rsidR="00FE45F1" w:rsidRPr="00FE45F1" w:rsidRDefault="00AC6E5A" w:rsidP="00FE45F1">
      <w:pPr>
        <w:pStyle w:val="Evidence"/>
      </w:pPr>
      <w:r>
        <w:rPr>
          <w:b/>
        </w:rPr>
        <w:t>Significant</w:t>
      </w:r>
      <w:r w:rsidR="00FE45F1" w:rsidRPr="00FE45F1">
        <w:t xml:space="preserve">: </w:t>
      </w:r>
      <w:r w:rsidR="00FE45F1" w:rsidRPr="00AC6E5A">
        <w:t>“:</w:t>
      </w:r>
      <w:r w:rsidRPr="00AC6E5A">
        <w:t> large enough to be noticed or have an effect</w:t>
      </w:r>
      <w:r w:rsidR="00FE45F1" w:rsidRPr="00AC6E5A">
        <w:t>”</w:t>
      </w:r>
      <w:r w:rsidR="00FE45F1" w:rsidRPr="00FE45F1">
        <w:t xml:space="preserve"> (</w:t>
      </w:r>
      <w:r w:rsidR="00FE45F1" w:rsidRPr="003B2A36">
        <w:rPr>
          <w:i/>
        </w:rPr>
        <w:t xml:space="preserve">Merriam Webster Online Dictionary, copyright 2015 </w:t>
      </w:r>
      <w:hyperlink r:id="rId10" w:history="1">
        <w:r w:rsidR="003B2A36" w:rsidRPr="0092046C">
          <w:rPr>
            <w:rStyle w:val="Hyperlink"/>
            <w:i/>
          </w:rPr>
          <w:t>http://www.merriam-webster.com/dictionary/significant</w:t>
        </w:r>
      </w:hyperlink>
      <w:r w:rsidR="003B2A36">
        <w:rPr>
          <w:i/>
        </w:rPr>
        <w:t xml:space="preserve"> </w:t>
      </w:r>
      <w:r w:rsidR="00FE45F1" w:rsidRPr="003B2A36">
        <w:rPr>
          <w:i/>
        </w:rPr>
        <w:t>)</w:t>
      </w:r>
    </w:p>
    <w:p w14:paraId="4C9BAC7F" w14:textId="080358E7" w:rsidR="006549D2" w:rsidRDefault="00AC6E5A" w:rsidP="00FE45F1">
      <w:pPr>
        <w:pStyle w:val="Evidence"/>
        <w:rPr>
          <w:i/>
        </w:rPr>
      </w:pPr>
      <w:r>
        <w:rPr>
          <w:b/>
        </w:rPr>
        <w:t>Reform</w:t>
      </w:r>
      <w:r w:rsidR="00FE45F1">
        <w:t xml:space="preserve">:  </w:t>
      </w:r>
      <w:r w:rsidR="00FE45F1" w:rsidRPr="00AC6E5A">
        <w:t>“</w:t>
      </w:r>
      <w:r w:rsidRPr="00AC6E5A">
        <w:t> to amend or improve by change of form or removal of faults or abuses</w:t>
      </w:r>
      <w:r w:rsidR="00FE45F1" w:rsidRPr="00AC6E5A">
        <w:t>” (</w:t>
      </w:r>
      <w:r w:rsidR="00FE45F1" w:rsidRPr="00AC6E5A">
        <w:rPr>
          <w:i/>
          <w:u w:val="single"/>
        </w:rPr>
        <w:t>Merriam Webster</w:t>
      </w:r>
      <w:r w:rsidR="00FE45F1" w:rsidRPr="00AC6E5A">
        <w:rPr>
          <w:i/>
        </w:rPr>
        <w:t xml:space="preserve"> Online Dictionary, copyright </w:t>
      </w:r>
      <w:r w:rsidR="00FE45F1" w:rsidRPr="00AC6E5A">
        <w:rPr>
          <w:i/>
          <w:u w:val="single"/>
        </w:rPr>
        <w:t>2015</w:t>
      </w:r>
      <w:r w:rsidR="00FE45F1" w:rsidRPr="00AC6E5A">
        <w:rPr>
          <w:i/>
        </w:rPr>
        <w:t xml:space="preserve"> </w:t>
      </w:r>
      <w:hyperlink r:id="rId11" w:history="1">
        <w:r w:rsidR="008A3CDA" w:rsidRPr="00E123E7">
          <w:rPr>
            <w:rStyle w:val="Hyperlink"/>
            <w:i/>
          </w:rPr>
          <w:t>http://www.merriam-webster.com/dictionary/reform</w:t>
        </w:r>
      </w:hyperlink>
      <w:r w:rsidR="00FE45F1" w:rsidRPr="00AC6E5A">
        <w:rPr>
          <w:i/>
        </w:rPr>
        <w:t>)</w:t>
      </w:r>
    </w:p>
    <w:p w14:paraId="15114DCB" w14:textId="23521C41" w:rsidR="008A3CDA" w:rsidRDefault="008A3CDA" w:rsidP="008A3CDA">
      <w:pPr>
        <w:pStyle w:val="Evidence"/>
        <w:rPr>
          <w:i/>
        </w:rPr>
      </w:pPr>
      <w:r w:rsidRPr="008A3CDA">
        <w:rPr>
          <w:b/>
        </w:rPr>
        <w:t>System</w:t>
      </w:r>
      <w:r w:rsidRPr="008A3CDA">
        <w:t xml:space="preserve">:  “a group of related parts that move or work together” </w:t>
      </w:r>
      <w:r w:rsidRPr="00D23BC1">
        <w:rPr>
          <w:i/>
          <w:u w:val="single"/>
        </w:rPr>
        <w:t>(Merriam-Webster</w:t>
      </w:r>
      <w:r w:rsidRPr="008A3CDA">
        <w:rPr>
          <w:i/>
        </w:rPr>
        <w:t xml:space="preserve"> Online Dictionary, copyright </w:t>
      </w:r>
      <w:r w:rsidRPr="00D23BC1">
        <w:rPr>
          <w:i/>
          <w:u w:val="single"/>
        </w:rPr>
        <w:t>2015</w:t>
      </w:r>
      <w:r w:rsidRPr="008A3CDA">
        <w:rPr>
          <w:i/>
        </w:rPr>
        <w:t xml:space="preserve"> </w:t>
      </w:r>
      <w:hyperlink r:id="rId12" w:history="1">
        <w:r w:rsidR="008F6FBA" w:rsidRPr="00693D3B">
          <w:rPr>
            <w:rStyle w:val="Hyperlink"/>
            <w:i/>
          </w:rPr>
          <w:t>http://www.merriam-webster.com/dictionary/system</w:t>
        </w:r>
      </w:hyperlink>
      <w:r w:rsidRPr="008A3CDA">
        <w:rPr>
          <w:i/>
        </w:rPr>
        <w:t>)</w:t>
      </w:r>
    </w:p>
    <w:p w14:paraId="1E049978" w14:textId="77777777" w:rsidR="006B74F8" w:rsidRDefault="00D00676" w:rsidP="00C5639D">
      <w:pPr>
        <w:pStyle w:val="Contention1"/>
      </w:pPr>
      <w:bookmarkStart w:id="3" w:name="_Toc304930352"/>
      <w:bookmarkStart w:id="4" w:name="_Toc304984128"/>
      <w:r>
        <w:t xml:space="preserve">OBSERVATION 2. </w:t>
      </w:r>
      <w:r w:rsidR="005B693E">
        <w:t xml:space="preserve"> </w:t>
      </w:r>
      <w:r w:rsidR="002A4E4D">
        <w:t>INHERENCY</w:t>
      </w:r>
      <w:r w:rsidR="00BD5EC8">
        <w:t xml:space="preserve"> or the conditions of the Status Quo</w:t>
      </w:r>
      <w:r w:rsidR="002A4E4D">
        <w:t xml:space="preserve">. </w:t>
      </w:r>
      <w:r w:rsidR="00C5639D">
        <w:t xml:space="preserve"> </w:t>
      </w:r>
      <w:r w:rsidR="006B74F8">
        <w:t>Two key</w:t>
      </w:r>
      <w:r w:rsidR="00C5639D">
        <w:t xml:space="preserve"> FACT</w:t>
      </w:r>
      <w:r w:rsidR="006B74F8">
        <w:t>S</w:t>
      </w:r>
      <w:r w:rsidR="00C5639D">
        <w:t>:</w:t>
      </w:r>
      <w:bookmarkEnd w:id="3"/>
      <w:bookmarkEnd w:id="4"/>
      <w:r w:rsidR="00467F01">
        <w:t xml:space="preserve"> </w:t>
      </w:r>
    </w:p>
    <w:p w14:paraId="0F920335" w14:textId="4A1EDD25" w:rsidR="00646838" w:rsidRDefault="006B74F8" w:rsidP="00C5639D">
      <w:pPr>
        <w:pStyle w:val="Contention1"/>
      </w:pPr>
      <w:bookmarkStart w:id="5" w:name="_Toc304930353"/>
      <w:bookmarkStart w:id="6" w:name="_Toc304984129"/>
      <w:r>
        <w:t xml:space="preserve">FACT 1.  </w:t>
      </w:r>
      <w:r w:rsidR="005C05E0">
        <w:t>Diversity Jurisdiction</w:t>
      </w:r>
      <w:r w:rsidR="0016745B">
        <w:t>. 35% of Federal civil cases fall under Diversity jurisdiction.</w:t>
      </w:r>
      <w:bookmarkEnd w:id="5"/>
      <w:bookmarkEnd w:id="6"/>
      <w:r w:rsidR="0016745B">
        <w:t xml:space="preserve">  </w:t>
      </w:r>
    </w:p>
    <w:p w14:paraId="22488613" w14:textId="000520EC" w:rsidR="00F51544" w:rsidRDefault="00F51544" w:rsidP="00F51544">
      <w:pPr>
        <w:pStyle w:val="Contention2"/>
      </w:pPr>
      <w:bookmarkStart w:id="7" w:name="_Toc304930354"/>
      <w:bookmarkStart w:id="8" w:name="_Toc304984130"/>
      <w:r>
        <w:t>They’re lawsuits involving people from different states that could have been settled in a state court</w:t>
      </w:r>
      <w:r w:rsidR="0016745B">
        <w:t>, but they are a significant part of the federal caseload</w:t>
      </w:r>
      <w:r>
        <w:t>.</w:t>
      </w:r>
      <w:bookmarkEnd w:id="7"/>
      <w:bookmarkEnd w:id="8"/>
    </w:p>
    <w:p w14:paraId="10BC48FB" w14:textId="5296E27A" w:rsidR="00F51544" w:rsidRDefault="00F51544" w:rsidP="00F51544">
      <w:pPr>
        <w:pStyle w:val="Citation3"/>
      </w:pPr>
      <w:r w:rsidRPr="008C045B">
        <w:rPr>
          <w:u w:val="single"/>
        </w:rPr>
        <w:t>Dr. David W. Neubauer and Dr. Stephen S. Meinhold 2012</w:t>
      </w:r>
      <w:r>
        <w:t xml:space="preserve"> (Neubauer – PhD; former chair of the Dept of Political Science at Univ. of New Orleans. Meinhold – PhD; Professor of Political Science at Univ of N.C.-Wilmington)  JUDICIAL PROCESS – LAW COURTS AND POLITICS IN THE UNITED STATES, 6</w:t>
      </w:r>
      <w:r w:rsidRPr="008C045B">
        <w:rPr>
          <w:vertAlign w:val="superscript"/>
        </w:rPr>
        <w:t>th</w:t>
      </w:r>
      <w:r>
        <w:t xml:space="preserve"> edition </w:t>
      </w:r>
      <w:hyperlink r:id="rId13" w:anchor="v=onepage&amp;q=%22diversity%20jurisdiction%22%20caseload%20federal&amp;f=false" w:history="1">
        <w:r w:rsidR="003B2A36" w:rsidRPr="0092046C">
          <w:rPr>
            <w:rStyle w:val="Hyperlink"/>
          </w:rPr>
          <w:t>https://books.google.fr/books?id=x7fOVPmlS4MC&amp;pg=PA61&amp;lpg=PA61&amp;dq=%22diversity+jurisdiction%22+caseload+federal&amp;source=bl&amp;ots=r79Q5I-orC&amp;sig=yGpnoHyJ8VzQ7lBoOiA8swPUIxE&amp;hl=fr&amp;sa=X&amp;ved=0CEUQ6AEwBGoVChMItNCBr-XixgIVRFQUCh1jrAL1#v=onepage&amp;q=%22diversity%20jurisdiction%22%20caseload%20federal&amp;f=false</w:t>
        </w:r>
      </w:hyperlink>
      <w:r w:rsidR="003B2A36">
        <w:t xml:space="preserve"> </w:t>
      </w:r>
    </w:p>
    <w:p w14:paraId="2D991265" w14:textId="2AD92A21" w:rsidR="008C045B" w:rsidRDefault="008C045B" w:rsidP="008C045B">
      <w:pPr>
        <w:pStyle w:val="Evidence"/>
      </w:pPr>
      <w:bookmarkStart w:id="9" w:name="_GoBack"/>
      <w:r>
        <w:rPr>
          <w:noProof/>
          <w:lang w:eastAsia="en-US"/>
        </w:rPr>
        <w:drawing>
          <wp:inline distT="0" distB="0" distL="0" distR="0" wp14:anchorId="0D1AD574" wp14:editId="2AB5CC5D">
            <wp:extent cx="4572000" cy="1409700"/>
            <wp:effectExtent l="0" t="0" r="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BEBA8EAE-BF5A-486C-A8C5-ECC9F3942E4B}">
                          <a14:imgProps xmlns:a14="http://schemas.microsoft.com/office/drawing/2010/main">
                            <a14:imgLayer r:embed="rId15">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4572000" cy="1409700"/>
                    </a:xfrm>
                    <a:prstGeom prst="rect">
                      <a:avLst/>
                    </a:prstGeom>
                    <a:noFill/>
                    <a:ln>
                      <a:noFill/>
                    </a:ln>
                  </pic:spPr>
                </pic:pic>
              </a:graphicData>
            </a:graphic>
          </wp:inline>
        </w:drawing>
      </w:r>
      <w:bookmarkEnd w:id="9"/>
    </w:p>
    <w:p w14:paraId="797625A6" w14:textId="559B8949" w:rsidR="00C363A8" w:rsidRDefault="008F6FBA" w:rsidP="00C5639D">
      <w:pPr>
        <w:pStyle w:val="Contention1"/>
      </w:pPr>
      <w:bookmarkStart w:id="10" w:name="_Toc304930355"/>
      <w:bookmarkStart w:id="11" w:name="_Toc304984131"/>
      <w:r>
        <w:lastRenderedPageBreak/>
        <w:t>FACT 2.  Ca</w:t>
      </w:r>
      <w:r w:rsidR="006B74F8">
        <w:t>seload</w:t>
      </w:r>
      <w:r>
        <w:t xml:space="preserve"> Crisis</w:t>
      </w:r>
      <w:r w:rsidR="00D22CE0">
        <w:t>.</w:t>
      </w:r>
      <w:bookmarkEnd w:id="10"/>
      <w:bookmarkEnd w:id="11"/>
      <w:r w:rsidR="00D22CE0">
        <w:t xml:space="preserve">  </w:t>
      </w:r>
    </w:p>
    <w:p w14:paraId="290BFAB8" w14:textId="3BAABB91" w:rsidR="006B74F8" w:rsidRDefault="00D22CE0" w:rsidP="00C363A8">
      <w:pPr>
        <w:pStyle w:val="Contention2"/>
      </w:pPr>
      <w:bookmarkStart w:id="12" w:name="_Toc304930356"/>
      <w:bookmarkStart w:id="13" w:name="_Toc304984132"/>
      <w:r>
        <w:t xml:space="preserve">Federal courts face a </w:t>
      </w:r>
      <w:r w:rsidR="008F6FBA">
        <w:t xml:space="preserve">crisis in </w:t>
      </w:r>
      <w:r>
        <w:t xml:space="preserve">caseload </w:t>
      </w:r>
      <w:r w:rsidR="008F6FBA">
        <w:t>volume</w:t>
      </w:r>
      <w:r>
        <w:t>.</w:t>
      </w:r>
      <w:bookmarkEnd w:id="12"/>
      <w:bookmarkEnd w:id="13"/>
    </w:p>
    <w:p w14:paraId="3C2FAE69" w14:textId="46445ED0" w:rsidR="00D22CE0" w:rsidRDefault="00D22CE0" w:rsidP="00D22CE0">
      <w:pPr>
        <w:pStyle w:val="Citation3"/>
      </w:pPr>
      <w:r w:rsidRPr="006B74F8">
        <w:rPr>
          <w:u w:val="single"/>
        </w:rPr>
        <w:t>Prof. Marvin K. Levy 2014</w:t>
      </w:r>
      <w:r w:rsidRPr="006B74F8">
        <w:t xml:space="preserve"> (Associate Professor of Law, Duke University School of Law) Judging Justice on Appeal, YALE LAW JOURNAL  Volume 123 </w:t>
      </w:r>
      <w:hyperlink r:id="rId16" w:history="1">
        <w:r w:rsidRPr="006B74F8">
          <w:rPr>
            <w:rStyle w:val="Hyperlink"/>
            <w:sz w:val="18"/>
            <w:szCs w:val="18"/>
          </w:rPr>
          <w:t>http://scholarship.law.duke.edu/cgi/viewcontent.cgi?article=6009&amp;context=faculty_scholarship</w:t>
        </w:r>
      </w:hyperlink>
    </w:p>
    <w:p w14:paraId="112C7A8A" w14:textId="71C3481D" w:rsidR="00D22CE0" w:rsidRPr="00D22CE0" w:rsidRDefault="00D22CE0" w:rsidP="00D22CE0">
      <w:pPr>
        <w:pStyle w:val="Evidence"/>
      </w:pPr>
      <w:r w:rsidRPr="00D22CE0">
        <w:t>For close to half a century, judges and scholars alike have spoken out about a critical problem facing the federal appellate courts: the caseload has grown at an exponential rate. Whereas in 1950 circuit judges had to review an average of only 73 appeals, their modern counterparts must decide more than four times as many, with an average of 329 appeals per annum today.  Indeed, it is on account of this precipitous rise in caseload that the federal courts of appeals have so often been said to face a “crisis in volume.”</w:t>
      </w:r>
    </w:p>
    <w:p w14:paraId="6BFCC43D" w14:textId="5B4EF4A2" w:rsidR="005C05E0" w:rsidRDefault="005C05E0" w:rsidP="00C5639D">
      <w:pPr>
        <w:pStyle w:val="Contention1"/>
      </w:pPr>
      <w:bookmarkStart w:id="14" w:name="_Toc304930357"/>
      <w:bookmarkStart w:id="15" w:name="_Toc304984133"/>
      <w:r>
        <w:t>OBSERVATION 3.  HARMS</w:t>
      </w:r>
      <w:bookmarkEnd w:id="14"/>
      <w:bookmarkEnd w:id="15"/>
    </w:p>
    <w:p w14:paraId="7F0BE37C" w14:textId="26610CC5" w:rsidR="005C05E0" w:rsidRDefault="006B74F8" w:rsidP="005C05E0">
      <w:pPr>
        <w:pStyle w:val="Contention2"/>
      </w:pPr>
      <w:bookmarkStart w:id="16" w:name="_Toc304930358"/>
      <w:bookmarkStart w:id="17" w:name="_Toc304984134"/>
      <w:r>
        <w:t>HARM 1.  Justice</w:t>
      </w:r>
      <w:r w:rsidR="00A80378">
        <w:t xml:space="preserve"> Compromised</w:t>
      </w:r>
      <w:r>
        <w:t xml:space="preserve">.  </w:t>
      </w:r>
      <w:r w:rsidR="005C05E0">
        <w:t xml:space="preserve">Current </w:t>
      </w:r>
      <w:r w:rsidR="00A80378">
        <w:t>policies</w:t>
      </w:r>
      <w:r w:rsidR="005C05E0">
        <w:t xml:space="preserve"> </w:t>
      </w:r>
      <w:r w:rsidR="00F1457C">
        <w:t>sacrifice</w:t>
      </w:r>
      <w:r w:rsidR="005C05E0">
        <w:t xml:space="preserve"> </w:t>
      </w:r>
      <w:r w:rsidR="00A80378">
        <w:t xml:space="preserve">fairness and accountability just </w:t>
      </w:r>
      <w:r w:rsidR="000C5E36">
        <w:t xml:space="preserve">to </w:t>
      </w:r>
      <w:r w:rsidR="00F1457C">
        <w:t xml:space="preserve">get through </w:t>
      </w:r>
      <w:r w:rsidR="00A80378">
        <w:t>the caseload</w:t>
      </w:r>
      <w:bookmarkEnd w:id="16"/>
      <w:bookmarkEnd w:id="17"/>
    </w:p>
    <w:p w14:paraId="72CF3BDF" w14:textId="77777777" w:rsidR="003B2A36" w:rsidRPr="001F3994" w:rsidRDefault="005C05E0" w:rsidP="00D532E9">
      <w:pPr>
        <w:pStyle w:val="Citation3"/>
      </w:pPr>
      <w:r w:rsidRPr="001F3994">
        <w:rPr>
          <w:u w:val="single"/>
        </w:rPr>
        <w:t>Prof. David R. Cleveland 2013</w:t>
      </w:r>
      <w:r w:rsidRPr="001F3994">
        <w:t xml:space="preserve"> (Associate Professor of Law, Valparaiso University Law Center) CLEVELAND STATE LAW REVIEW “POST-CRISIS RECONSIDERATION OF FEDERAL COURT REFORM”</w:t>
      </w:r>
      <w:r w:rsidR="003B2A36" w:rsidRPr="00762B98">
        <w:t xml:space="preserve"> </w:t>
      </w:r>
      <w:r w:rsidRPr="00762B98">
        <w:t xml:space="preserve"> </w:t>
      </w:r>
      <w:hyperlink r:id="rId17" w:history="1">
        <w:r w:rsidR="003B2A36" w:rsidRPr="00D532E9">
          <w:rPr>
            <w:rStyle w:val="Hyperlink"/>
            <w:i w:val="0"/>
          </w:rPr>
          <w:t>http://engagedscholarship.csuohio.edu/cgi/viewcontent.cgi?article=1397&amp;context=clevstl rev</w:t>
        </w:r>
      </w:hyperlink>
    </w:p>
    <w:p w14:paraId="63AAD13A" w14:textId="1338C6BC" w:rsidR="005C05E0" w:rsidRDefault="005C05E0" w:rsidP="005C05E0">
      <w:pPr>
        <w:pStyle w:val="Evidence"/>
      </w:pPr>
      <w:r>
        <w:t>There have been many changes to the courts’ internal practices, which have resulted in a more efficient processing of appeals.</w:t>
      </w:r>
      <w:r>
        <w:rPr>
          <w:sz w:val="12"/>
          <w:szCs w:val="12"/>
        </w:rPr>
        <w:t xml:space="preserve">  </w:t>
      </w:r>
      <w:r>
        <w:t>These internal changes have decreased the burden of increased caseloads but at some cost to the traditional appellate values of access, fairness, and accountability.</w:t>
      </w:r>
      <w:r>
        <w:rPr>
          <w:sz w:val="12"/>
          <w:szCs w:val="12"/>
        </w:rPr>
        <w:t xml:space="preserve">  </w:t>
      </w:r>
      <w:r>
        <w:t>Indeed, while the appearance of business as usual has been maintained, internal changes made since the early 1970s have altered appellate justice.</w:t>
      </w:r>
    </w:p>
    <w:p w14:paraId="258A3E32" w14:textId="6CD4D592" w:rsidR="0049793E" w:rsidRDefault="00A80378" w:rsidP="0049793E">
      <w:pPr>
        <w:pStyle w:val="Contention2"/>
      </w:pPr>
      <w:bookmarkStart w:id="18" w:name="_Toc304930359"/>
      <w:bookmarkStart w:id="19" w:name="_Toc304984135"/>
      <w:r>
        <w:t xml:space="preserve">HARM 2.  Harassment.  Nuisance lawsuits are inflicted on people just </w:t>
      </w:r>
      <w:r w:rsidR="00ED1046">
        <w:t>to</w:t>
      </w:r>
      <w:r>
        <w:t xml:space="preserve"> chang</w:t>
      </w:r>
      <w:r w:rsidR="00ED1046">
        <w:t>e</w:t>
      </w:r>
      <w:r>
        <w:t xml:space="preserve"> the venue from Federal to State court</w:t>
      </w:r>
      <w:bookmarkEnd w:id="18"/>
      <w:bookmarkEnd w:id="19"/>
    </w:p>
    <w:p w14:paraId="39872796" w14:textId="095474C7" w:rsidR="00745724" w:rsidRPr="00745724" w:rsidRDefault="00745724" w:rsidP="00745724">
      <w:pPr>
        <w:pStyle w:val="Constructive"/>
        <w:rPr>
          <w:b/>
        </w:rPr>
      </w:pPr>
      <w:r>
        <w:rPr>
          <w:b/>
        </w:rPr>
        <w:t>This happens, for example, when there are two parties of different states.  The party filing the lawsuit doesn’t want the suit to go to federal court, so he names one additional person in the suit who lives in his own state. The additional party probably had little or nothing to do with the incident, but is simply added in order to get around the diversity rule and force the lawsuit back into state court. Law Professor David Crump explains in 2010:</w:t>
      </w:r>
    </w:p>
    <w:p w14:paraId="5D15B9EA" w14:textId="28848547" w:rsidR="0049793E" w:rsidRDefault="0049793E" w:rsidP="0049793E">
      <w:pPr>
        <w:pStyle w:val="Citation3"/>
      </w:pPr>
      <w:r w:rsidRPr="00A968F1">
        <w:rPr>
          <w:u w:val="single"/>
        </w:rPr>
        <w:t>Prof. David Crump 2010</w:t>
      </w:r>
      <w:r>
        <w:t xml:space="preserve"> (J.D.; </w:t>
      </w:r>
      <w:r w:rsidRPr="005C05E0">
        <w:t xml:space="preserve">Professor of Law, University of Houston Law Center) THE CASE FOR RESTRICTING DIVERSITY JURISDICTION: THE UNDEVELOPED ARGUMENTS, FROM THE RACE TO THE BOTTOM TO THE SUBSTITUTION EFFECT </w:t>
      </w:r>
      <w:hyperlink r:id="rId18" w:history="1">
        <w:r w:rsidR="003B2A36" w:rsidRPr="0092046C">
          <w:rPr>
            <w:rStyle w:val="Hyperlink"/>
          </w:rPr>
          <w:t>http://works.bepress.com/david_crump/6/</w:t>
        </w:r>
      </w:hyperlink>
      <w:r w:rsidR="003B2A36">
        <w:t xml:space="preserve"> </w:t>
      </w:r>
    </w:p>
    <w:p w14:paraId="5B0148B3" w14:textId="3FC172FE" w:rsidR="005C05E0" w:rsidRDefault="0049793E" w:rsidP="0049793E">
      <w:pPr>
        <w:pStyle w:val="Evidence"/>
      </w:pPr>
      <w:r w:rsidRPr="0049793E">
        <w:t xml:space="preserve">Also, the traditional arguments against diversity fail to emphasize the fact that </w:t>
      </w:r>
      <w:r w:rsidRPr="00745724">
        <w:rPr>
          <w:u w:val="single"/>
        </w:rPr>
        <w:t>diversity jurisdiction often creates an incentive toward a kind of “harassment of the little guy.” This phenomenon is a consequence of the rule that incomplete diversity is not diversity, so that the joinder of a local citizen defeats removal. Lawyers use this technique to manipulate jurisdiction, and they do so lawfully, but at great cost, by unnecessarily joining little-guy locals from whom they do not, in reality, seek to recover</w:t>
      </w:r>
      <w:r w:rsidRPr="0049793E">
        <w:t>.</w:t>
      </w:r>
    </w:p>
    <w:p w14:paraId="7B65530F" w14:textId="3851EC91" w:rsidR="0049793E" w:rsidRDefault="00A80378" w:rsidP="0049793E">
      <w:pPr>
        <w:pStyle w:val="Contention2"/>
      </w:pPr>
      <w:bookmarkStart w:id="20" w:name="_Toc304930360"/>
      <w:bookmarkStart w:id="21" w:name="_Toc304984136"/>
      <w:r>
        <w:t xml:space="preserve">HARM 3.  Higher cost.  </w:t>
      </w:r>
      <w:r w:rsidR="0049793E">
        <w:t>Diversity raises the cost of litigation and often hurts plaintiffs</w:t>
      </w:r>
      <w:bookmarkEnd w:id="20"/>
      <w:bookmarkEnd w:id="21"/>
    </w:p>
    <w:p w14:paraId="0282C96B" w14:textId="22B1A2C3" w:rsidR="0049793E" w:rsidRDefault="0049793E" w:rsidP="0049793E">
      <w:pPr>
        <w:pStyle w:val="Citation3"/>
      </w:pPr>
      <w:r w:rsidRPr="00A968F1">
        <w:rPr>
          <w:u w:val="single"/>
        </w:rPr>
        <w:t>Prof. David Crump 2010</w:t>
      </w:r>
      <w:r>
        <w:t xml:space="preserve"> (J.D.; </w:t>
      </w:r>
      <w:r w:rsidRPr="005C05E0">
        <w:t xml:space="preserve">Professor of Law, University of Houston Law Center) THE CASE FOR RESTRICTING DIVERSITY JURISDICTION: THE UNDEVELOPED ARGUMENTS, FROM THE RACE TO THE BOTTOM TO THE SUBSTITUTION EFFECT </w:t>
      </w:r>
      <w:hyperlink r:id="rId19" w:history="1">
        <w:r w:rsidR="003B2A36" w:rsidRPr="0092046C">
          <w:rPr>
            <w:rStyle w:val="Hyperlink"/>
          </w:rPr>
          <w:t>http://works.bepress.com/david_crump/6/</w:t>
        </w:r>
      </w:hyperlink>
      <w:r w:rsidR="003B2A36">
        <w:t xml:space="preserve"> </w:t>
      </w:r>
    </w:p>
    <w:p w14:paraId="6A992567" w14:textId="616E96ED" w:rsidR="0049793E" w:rsidRPr="0049793E" w:rsidRDefault="0049793E" w:rsidP="0049793E">
      <w:pPr>
        <w:pStyle w:val="Evidence"/>
      </w:pPr>
      <w:r w:rsidRPr="0049793E">
        <w:t xml:space="preserve">The traditional arguments also fail to explain how </w:t>
      </w:r>
      <w:r w:rsidRPr="00ED1046">
        <w:rPr>
          <w:u w:val="single"/>
        </w:rPr>
        <w:t>diversity can tilt the playing field. The transition to federal court almost always raises the cost of litigation. But raising the cost is not always a neutral effect. Passive-aggressive litigants have an incentive to remove because they benefit from increased cost. Diversity thus creates a dysfunctional kind of bias</w:t>
      </w:r>
      <w:r w:rsidRPr="0049793E">
        <w:t xml:space="preserve"> that is unrelated to the kinds of bias that federal jurisdiction is supposed to create or oppose</w:t>
      </w:r>
      <w:r w:rsidRPr="00ED1046">
        <w:rPr>
          <w:u w:val="single"/>
        </w:rPr>
        <w:t>. In general, this cost effect hurts parties with the burden of proof who need remedies against opposing parties. In other words, it often hurts individual plaintiffs</w:t>
      </w:r>
      <w:r w:rsidRPr="0049793E">
        <w:t>.</w:t>
      </w:r>
    </w:p>
    <w:p w14:paraId="5657AD45" w14:textId="30BFC1D6" w:rsidR="00CD2A66" w:rsidRPr="001C7F45" w:rsidRDefault="005C05E0" w:rsidP="001C7F45">
      <w:pPr>
        <w:pStyle w:val="Contention1"/>
      </w:pPr>
      <w:bookmarkStart w:id="22" w:name="_Toc304930361"/>
      <w:bookmarkStart w:id="23" w:name="_Toc304984137"/>
      <w:r>
        <w:lastRenderedPageBreak/>
        <w:t>OBSERVATION 4</w:t>
      </w:r>
      <w:r w:rsidR="00CD2A66">
        <w:t>. We offer the following PLAN, to be implemented by Congress</w:t>
      </w:r>
      <w:r w:rsidR="00347701">
        <w:t xml:space="preserve"> </w:t>
      </w:r>
      <w:r w:rsidR="000A37CD">
        <w:t>through any necessary means.</w:t>
      </w:r>
      <w:bookmarkEnd w:id="22"/>
      <w:bookmarkEnd w:id="23"/>
    </w:p>
    <w:p w14:paraId="3F6295C8" w14:textId="0817F8A2" w:rsidR="004918F6" w:rsidRDefault="001C7F45" w:rsidP="001C7F45">
      <w:pPr>
        <w:pStyle w:val="Case"/>
        <w:numPr>
          <w:ilvl w:val="0"/>
          <w:numId w:val="0"/>
        </w:numPr>
        <w:ind w:left="576"/>
      </w:pPr>
      <w:r>
        <w:t xml:space="preserve">1. </w:t>
      </w:r>
      <w:r w:rsidR="00B16F3B">
        <w:t xml:space="preserve"> </w:t>
      </w:r>
      <w:r w:rsidR="00745724">
        <w:t>E</w:t>
      </w:r>
      <w:r w:rsidR="000A37CD">
        <w:t>liminate the diversity jurisdiction rule for civil cases</w:t>
      </w:r>
      <w:r w:rsidR="00AF4BD1">
        <w:t xml:space="preserve"> involving citizens of different US states</w:t>
      </w:r>
      <w:r w:rsidR="000A37CD">
        <w:t xml:space="preserve"> in federal courts. </w:t>
      </w:r>
      <w:r w:rsidR="00745724">
        <w:t>Such cases</w:t>
      </w:r>
      <w:r w:rsidR="000A37CD">
        <w:t xml:space="preserve"> will</w:t>
      </w:r>
      <w:r w:rsidR="00745724">
        <w:t xml:space="preserve"> be left to the state courts and will no longer</w:t>
      </w:r>
      <w:r w:rsidR="000A37CD">
        <w:t xml:space="preserve"> be eligible for trans</w:t>
      </w:r>
      <w:r w:rsidR="00745724">
        <w:t>fer from state to federal court.</w:t>
      </w:r>
      <w:r w:rsidR="00C460CF">
        <w:br/>
        <w:t xml:space="preserve">2.  </w:t>
      </w:r>
      <w:r w:rsidR="00B16F3B">
        <w:t xml:space="preserve">Funding </w:t>
      </w:r>
      <w:r w:rsidR="000A37CD">
        <w:t>from existing budgets of existing agencies</w:t>
      </w:r>
      <w:r w:rsidR="0069755F">
        <w:br/>
      </w:r>
      <w:r w:rsidR="000A37CD">
        <w:t>3</w:t>
      </w:r>
      <w:r>
        <w:t xml:space="preserve">. </w:t>
      </w:r>
      <w:r w:rsidR="00B16F3B">
        <w:t xml:space="preserve">Plan takes effect </w:t>
      </w:r>
      <w:r w:rsidR="000B7B23">
        <w:t xml:space="preserve">next </w:t>
      </w:r>
      <w:r w:rsidR="000A37CD">
        <w:t>January</w:t>
      </w:r>
      <w:r w:rsidR="000B7B23">
        <w:t xml:space="preserve"> 1</w:t>
      </w:r>
      <w:r w:rsidR="00B16F3B">
        <w:t>.</w:t>
      </w:r>
      <w:r w:rsidR="009747B5">
        <w:br/>
      </w:r>
      <w:r w:rsidR="000A37CD">
        <w:t>4</w:t>
      </w:r>
      <w:r w:rsidR="00C460CF">
        <w:t xml:space="preserve">.  Enforcement through </w:t>
      </w:r>
      <w:r w:rsidR="000A37CD">
        <w:t>the</w:t>
      </w:r>
      <w:r w:rsidR="00C460CF">
        <w:t xml:space="preserve"> federal courts.  Any </w:t>
      </w:r>
      <w:r w:rsidR="000A37CD">
        <w:t>cases not in compliance will</w:t>
      </w:r>
      <w:r w:rsidR="00050027">
        <w:t xml:space="preserve"> be reversed by the Supreme Court.</w:t>
      </w:r>
      <w:r w:rsidR="00C460CF">
        <w:br/>
      </w:r>
      <w:r w:rsidR="00050027">
        <w:t>5</w:t>
      </w:r>
      <w:r w:rsidR="00C460CF">
        <w:t xml:space="preserve">. </w:t>
      </w:r>
      <w:r w:rsidR="00B16F3B">
        <w:t>All Affirmative speeches may clarify the plan</w:t>
      </w:r>
    </w:p>
    <w:p w14:paraId="53CE66A5" w14:textId="15E945E6" w:rsidR="0069755F" w:rsidRDefault="001C7F45" w:rsidP="0069755F">
      <w:pPr>
        <w:pStyle w:val="Contention1"/>
      </w:pPr>
      <w:bookmarkStart w:id="24" w:name="_Toc304930362"/>
      <w:bookmarkStart w:id="25" w:name="_Toc304984138"/>
      <w:r>
        <w:t xml:space="preserve">OBSERVATION 5.  The </w:t>
      </w:r>
      <w:r w:rsidR="00A80378">
        <w:t>ADVANTAGES</w:t>
      </w:r>
      <w:r>
        <w:t>.</w:t>
      </w:r>
      <w:bookmarkEnd w:id="24"/>
      <w:bookmarkEnd w:id="25"/>
      <w:r>
        <w:t xml:space="preserve">   </w:t>
      </w:r>
    </w:p>
    <w:p w14:paraId="64A799AF" w14:textId="77777777" w:rsidR="00A80378" w:rsidRDefault="00A80378" w:rsidP="00A80378">
      <w:pPr>
        <w:pStyle w:val="Contention1"/>
      </w:pPr>
      <w:bookmarkStart w:id="26" w:name="_Toc304930363"/>
      <w:bookmarkStart w:id="27" w:name="_Toc304984139"/>
      <w:r>
        <w:t xml:space="preserve">ADVANTAGE </w:t>
      </w:r>
      <w:r w:rsidR="000A37CD">
        <w:t xml:space="preserve">1.  Substantial reduction in </w:t>
      </w:r>
      <w:r w:rsidR="00050027">
        <w:t xml:space="preserve">federal </w:t>
      </w:r>
      <w:r w:rsidR="000A37CD">
        <w:t>caseload.</w:t>
      </w:r>
      <w:bookmarkEnd w:id="26"/>
      <w:bookmarkEnd w:id="27"/>
      <w:r w:rsidR="000A37CD">
        <w:t xml:space="preserve">  </w:t>
      </w:r>
    </w:p>
    <w:p w14:paraId="24DEDBD7" w14:textId="03E527AD" w:rsidR="000A37CD" w:rsidRDefault="00A80378" w:rsidP="000A37CD">
      <w:pPr>
        <w:pStyle w:val="Contention2"/>
      </w:pPr>
      <w:bookmarkStart w:id="28" w:name="_Toc304930364"/>
      <w:bookmarkStart w:id="29" w:name="_Toc304984140"/>
      <w:r>
        <w:t xml:space="preserve">The late Chief </w:t>
      </w:r>
      <w:r w:rsidR="000A37CD">
        <w:t>Justice William Rehnquist advocated our plan because it would reduce over 30% of the civil caseload</w:t>
      </w:r>
      <w:bookmarkEnd w:id="28"/>
      <w:bookmarkEnd w:id="29"/>
    </w:p>
    <w:p w14:paraId="2004A3E4" w14:textId="436F6DD0" w:rsidR="000A37CD" w:rsidRDefault="000A37CD" w:rsidP="000A37CD">
      <w:pPr>
        <w:pStyle w:val="Citation3"/>
      </w:pPr>
      <w:r w:rsidRPr="00DF0CED">
        <w:rPr>
          <w:u w:val="single"/>
        </w:rPr>
        <w:t>Prof. G. Alan Tarr 2013</w:t>
      </w:r>
      <w:r>
        <w:t xml:space="preserve"> (PhD; prof. of political science, Rutgers Univ.) JUDICIAL PROCESS AND JUDICIAL POLICYMAKING </w:t>
      </w:r>
      <w:hyperlink r:id="rId20" w:anchor="v=onepage&amp;q=abolish%20federal%20%22diversity%20jurisdiction%22%20%202012%20OR%202013%20OR%202014%20OR%202015&amp;f=false" w:history="1">
        <w:r w:rsidR="003B2A36" w:rsidRPr="0092046C">
          <w:rPr>
            <w:rStyle w:val="Hyperlink"/>
          </w:rPr>
          <w:t>https://books.google.fr/books?id=eZQWAAAAQBAJ&amp;pg=PA44&amp;lpg=PA44&amp;dq=abolish+federal+%22diversity+jurisdiction%22++2012+OR+2013+OR+2014+OR+2015&amp;source=bl&amp;ots=w6r_sKxi3k&amp;sig=dckrnlDL2CFpY4bGMDypqkm968Y&amp;hl=fr&amp;sa=X&amp;ved=0CFoQ6AEwBmoVChMIid_2hYzgxgIVxlcUCh25XAkW#v=onepage&amp;q=abolish%20federal%20%22diversity%20jurisdiction%22%20%202012%20OR%202013%20OR%202014%20OR%202015&amp;f=false</w:t>
        </w:r>
      </w:hyperlink>
      <w:r w:rsidR="003B2A36">
        <w:t xml:space="preserve"> </w:t>
      </w:r>
    </w:p>
    <w:p w14:paraId="6D10233D" w14:textId="3F6DEDEB" w:rsidR="000A37CD" w:rsidRDefault="000A37CD" w:rsidP="000A37CD">
      <w:pPr>
        <w:pStyle w:val="Evidence"/>
      </w:pPr>
      <w:r w:rsidRPr="000A37CD">
        <w:rPr>
          <w:noProof/>
          <w:lang w:eastAsia="en-US"/>
        </w:rPr>
        <w:drawing>
          <wp:inline distT="0" distB="0" distL="0" distR="0" wp14:anchorId="0D33F531" wp14:editId="6F465ED2">
            <wp:extent cx="4581525" cy="1807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email">
                      <a:extLst>
                        <a:ext uri="{BEBA8EAE-BF5A-486C-A8C5-ECC9F3942E4B}">
                          <a14:imgProps xmlns:a14="http://schemas.microsoft.com/office/drawing/2010/main">
                            <a14:imgLayer r:embed="rId22">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4585984" cy="1809314"/>
                    </a:xfrm>
                    <a:prstGeom prst="rect">
                      <a:avLst/>
                    </a:prstGeom>
                    <a:noFill/>
                    <a:ln>
                      <a:noFill/>
                    </a:ln>
                  </pic:spPr>
                </pic:pic>
              </a:graphicData>
            </a:graphic>
          </wp:inline>
        </w:drawing>
      </w:r>
    </w:p>
    <w:p w14:paraId="0F6A4ED1" w14:textId="633AAC1B" w:rsidR="0016745B" w:rsidRDefault="0016745B" w:rsidP="0016745B">
      <w:pPr>
        <w:pStyle w:val="Contention1"/>
      </w:pPr>
      <w:bookmarkStart w:id="30" w:name="_Toc304930365"/>
      <w:bookmarkStart w:id="31" w:name="_Toc304984141"/>
      <w:r>
        <w:lastRenderedPageBreak/>
        <w:t xml:space="preserve">ADVANTAGE 2.  Better </w:t>
      </w:r>
      <w:r w:rsidR="006D546F">
        <w:t>case management</w:t>
      </w:r>
      <w:r>
        <w:t>.</w:t>
      </w:r>
      <w:bookmarkEnd w:id="30"/>
      <w:bookmarkEnd w:id="31"/>
    </w:p>
    <w:p w14:paraId="7C5E5913" w14:textId="6446CFA6" w:rsidR="0016745B" w:rsidRDefault="0016745B" w:rsidP="0016745B">
      <w:pPr>
        <w:pStyle w:val="Contention2"/>
      </w:pPr>
      <w:bookmarkStart w:id="32" w:name="_Toc304930366"/>
      <w:bookmarkStart w:id="33" w:name="_Toc304984142"/>
      <w:r>
        <w:t>Many federal judges recommend our plan because State courts are better equipped to decide these cases than federal courts.</w:t>
      </w:r>
      <w:bookmarkEnd w:id="32"/>
      <w:bookmarkEnd w:id="33"/>
    </w:p>
    <w:p w14:paraId="76C64620" w14:textId="56265A1F" w:rsidR="0016745B" w:rsidRDefault="0016745B" w:rsidP="0016745B">
      <w:pPr>
        <w:pStyle w:val="Citation3"/>
      </w:pPr>
      <w:r w:rsidRPr="008C045B">
        <w:rPr>
          <w:u w:val="single"/>
        </w:rPr>
        <w:t>Dr. David W. Neubauer and Dr. Stephen S. Meinhold 2012</w:t>
      </w:r>
      <w:r>
        <w:t xml:space="preserve"> (Neubauer – PhD; former chair of the Dept of Political Science at Univ. of New Orleans. Meinhold – PhD; Professor of Political Science at Univ of N.C.-Wilmington)  JUDICIAL PROCESS – LAW COURTS AND POLITICS IN THE UNITED STATES, 6</w:t>
      </w:r>
      <w:r w:rsidRPr="008C045B">
        <w:rPr>
          <w:vertAlign w:val="superscript"/>
        </w:rPr>
        <w:t>th</w:t>
      </w:r>
      <w:r>
        <w:t xml:space="preserve"> edition </w:t>
      </w:r>
      <w:hyperlink r:id="rId23" w:anchor="v=onepage&amp;q=%22diversity%20jurisdiction%22%20caseload%20federal&amp;f=false" w:history="1">
        <w:r w:rsidR="003B2A36" w:rsidRPr="0092046C">
          <w:rPr>
            <w:rStyle w:val="Hyperlink"/>
          </w:rPr>
          <w:t>https://books.google.fr/books?id=x7fOVPmlS4MC&amp;pg=PA61&amp;lpg=PA61&amp;dq=%22diversity+jurisdiction%22+caseload+federal&amp;source=bl&amp;ots=r79Q5I-orC&amp;sig=yGpnoHyJ8VzQ7lBoOiA8swPUIxE&amp;hl=fr&amp;sa=X&amp;ved=0CEUQ6AEwBGoVChMItNCBr-XixgIVRFQUCh1jrAL1#v=onepage&amp;q=%22diversity%20jurisdiction%22%20caseload%20federal&amp;f=false</w:t>
        </w:r>
      </w:hyperlink>
      <w:r w:rsidR="003B2A36">
        <w:t xml:space="preserve"> </w:t>
      </w:r>
    </w:p>
    <w:p w14:paraId="7FB78935" w14:textId="7C4488AD" w:rsidR="0016745B" w:rsidRDefault="0016745B" w:rsidP="0016745B">
      <w:pPr>
        <w:pStyle w:val="Evidence"/>
      </w:pPr>
      <w:r>
        <w:rPr>
          <w:noProof/>
          <w:lang w:eastAsia="en-US"/>
        </w:rPr>
        <w:drawing>
          <wp:inline distT="0" distB="0" distL="0" distR="0" wp14:anchorId="26F4CBBA" wp14:editId="039B491E">
            <wp:extent cx="4572000" cy="10972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BEBA8EAE-BF5A-486C-A8C5-ECC9F3942E4B}">
                          <a14:imgProps xmlns:a14="http://schemas.microsoft.com/office/drawing/2010/main">
                            <a14:imgLayer r:embed="rId25">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4572000" cy="1097280"/>
                    </a:xfrm>
                    <a:prstGeom prst="rect">
                      <a:avLst/>
                    </a:prstGeom>
                    <a:noFill/>
                    <a:ln>
                      <a:noFill/>
                    </a:ln>
                  </pic:spPr>
                </pic:pic>
              </a:graphicData>
            </a:graphic>
          </wp:inline>
        </w:drawing>
      </w:r>
    </w:p>
    <w:p w14:paraId="66B06102" w14:textId="77777777" w:rsidR="0091104A" w:rsidRDefault="0091104A" w:rsidP="0091104A">
      <w:pPr>
        <w:pStyle w:val="Title2"/>
        <w:sectPr w:rsidR="0091104A" w:rsidSect="002B5BD4">
          <w:headerReference w:type="default" r:id="rId26"/>
          <w:pgSz w:w="12240" w:h="15840"/>
          <w:pgMar w:top="1440" w:right="1440" w:bottom="1440" w:left="1440" w:header="720" w:footer="720" w:gutter="0"/>
          <w:cols w:space="720"/>
        </w:sectPr>
      </w:pPr>
      <w:bookmarkStart w:id="34" w:name="_Toc304930367"/>
      <w:bookmarkStart w:id="35" w:name="_Toc304984143"/>
    </w:p>
    <w:p w14:paraId="3D4D3A9F" w14:textId="49B959A1" w:rsidR="00CD2A66" w:rsidRPr="005F7D93" w:rsidRDefault="00CD2A66" w:rsidP="0091104A">
      <w:pPr>
        <w:pStyle w:val="Title2"/>
      </w:pPr>
      <w:r w:rsidRPr="005F7D93">
        <w:lastRenderedPageBreak/>
        <w:t xml:space="preserve">2A </w:t>
      </w:r>
      <w:r w:rsidR="0091104A">
        <w:t>Evidence: Abolish Diversity Jurisdiction</w:t>
      </w:r>
      <w:bookmarkEnd w:id="34"/>
      <w:bookmarkEnd w:id="35"/>
    </w:p>
    <w:p w14:paraId="5AAFCFC3" w14:textId="09290356" w:rsidR="002E5857" w:rsidRDefault="002E5857" w:rsidP="006D3D2A">
      <w:pPr>
        <w:pStyle w:val="Contention1"/>
      </w:pPr>
      <w:bookmarkStart w:id="36" w:name="_Toc304930368"/>
      <w:bookmarkStart w:id="37" w:name="_Toc304984144"/>
      <w:r>
        <w:t>OPENING QUOTES</w:t>
      </w:r>
      <w:r w:rsidR="00AC3C9D">
        <w:t xml:space="preserve"> / AFF PHILOSOPHY</w:t>
      </w:r>
      <w:bookmarkEnd w:id="36"/>
      <w:bookmarkEnd w:id="37"/>
    </w:p>
    <w:p w14:paraId="77FBD42D" w14:textId="22F41D3A" w:rsidR="007059E0" w:rsidRDefault="007059E0" w:rsidP="007059E0">
      <w:pPr>
        <w:pStyle w:val="Contention2"/>
      </w:pPr>
      <w:bookmarkStart w:id="38" w:name="_Toc304930369"/>
      <w:bookmarkStart w:id="39" w:name="_Toc304984145"/>
      <w:r>
        <w:t>Justice Robert Jackson 1955:  Abolishing diversity jurisdiction would be the best thing Congress could do for the administration of justice</w:t>
      </w:r>
      <w:bookmarkEnd w:id="38"/>
      <w:bookmarkEnd w:id="39"/>
    </w:p>
    <w:p w14:paraId="0F9003F2" w14:textId="77777777" w:rsidR="007059E0" w:rsidRPr="00D02EED" w:rsidRDefault="007059E0" w:rsidP="007059E0">
      <w:pPr>
        <w:pStyle w:val="Citation3"/>
      </w:pPr>
      <w:r w:rsidRPr="00334E63">
        <w:rPr>
          <w:u w:val="single"/>
        </w:rPr>
        <w:t>Charles Cooper &amp; Howard Nielson</w:t>
      </w:r>
      <w:r>
        <w:t xml:space="preserve"> </w:t>
      </w:r>
      <w:r w:rsidRPr="00334E63">
        <w:rPr>
          <w:u w:val="single"/>
        </w:rPr>
        <w:t>2014</w:t>
      </w:r>
      <w:r w:rsidRPr="00D02EED">
        <w:t xml:space="preserve">  (Cooper – attorney; Founding Member and Chairman, Cooper &amp; Kirk law firm.  Nielson – attorney with Cooper &amp; Kirk law firm; Distinguished Lecturer at Reuben Clark Law School, Brigham Young University) COMPLETE DIVERSITY AND THE CLOSING OF THE FEDERAL COURTS</w:t>
      </w:r>
      <w:r>
        <w:t>, Harvard Journal of Law &amp; Public Policy, Vol 37 Winter 2014</w:t>
      </w:r>
      <w:r w:rsidRPr="00D02EED">
        <w:t xml:space="preserve"> </w:t>
      </w:r>
      <w:hyperlink r:id="rId27" w:history="1">
        <w:r w:rsidRPr="00EB3B92">
          <w:rPr>
            <w:rStyle w:val="Hyperlink"/>
          </w:rPr>
          <w:t>http://www.harvard-jlpp.com/wp-content/uploads/2014/01/37_1_295_Cooper_Nielson.pdf</w:t>
        </w:r>
      </w:hyperlink>
      <w:r>
        <w:t xml:space="preserve"> (brackets in original)</w:t>
      </w:r>
    </w:p>
    <w:p w14:paraId="4D811203" w14:textId="485EBCA4" w:rsidR="007059E0" w:rsidRDefault="007059E0" w:rsidP="007059E0">
      <w:pPr>
        <w:pStyle w:val="Evidence"/>
      </w:pPr>
      <w:r w:rsidRPr="000C5E36">
        <w:rPr>
          <w:u w:val="single"/>
        </w:rPr>
        <w:t>Justice Robert Jackson, for example, declared that “[i]n my judgment the greatest contribution that Congress could make to the orderly administration of justice in the United States would be to abolish the jurisdiction of the federal courts which is based solely on the ground that the litigants are citizens of different states</w:t>
      </w:r>
      <w:r>
        <w:t>.” R</w:t>
      </w:r>
      <w:r>
        <w:rPr>
          <w:sz w:val="14"/>
          <w:szCs w:val="14"/>
        </w:rPr>
        <w:t xml:space="preserve">OBERT </w:t>
      </w:r>
      <w:r>
        <w:t>H. J</w:t>
      </w:r>
      <w:r>
        <w:rPr>
          <w:sz w:val="14"/>
          <w:szCs w:val="14"/>
        </w:rPr>
        <w:t>ACKSON</w:t>
      </w:r>
      <w:r>
        <w:t>, T</w:t>
      </w:r>
      <w:r>
        <w:rPr>
          <w:sz w:val="14"/>
          <w:szCs w:val="14"/>
        </w:rPr>
        <w:t xml:space="preserve">HE </w:t>
      </w:r>
      <w:r>
        <w:t>S</w:t>
      </w:r>
      <w:r>
        <w:rPr>
          <w:sz w:val="14"/>
          <w:szCs w:val="14"/>
        </w:rPr>
        <w:t xml:space="preserve">UPREME </w:t>
      </w:r>
      <w:r>
        <w:t>C</w:t>
      </w:r>
      <w:r>
        <w:rPr>
          <w:sz w:val="14"/>
          <w:szCs w:val="14"/>
        </w:rPr>
        <w:t xml:space="preserve">OURT IN THE </w:t>
      </w:r>
      <w:r>
        <w:t>A</w:t>
      </w:r>
      <w:r>
        <w:rPr>
          <w:sz w:val="14"/>
          <w:szCs w:val="14"/>
        </w:rPr>
        <w:t xml:space="preserve">MERICAN </w:t>
      </w:r>
      <w:r>
        <w:t>S</w:t>
      </w:r>
      <w:r>
        <w:rPr>
          <w:sz w:val="14"/>
          <w:szCs w:val="14"/>
        </w:rPr>
        <w:t xml:space="preserve">YSTEM OF </w:t>
      </w:r>
      <w:r>
        <w:t>G</w:t>
      </w:r>
      <w:r>
        <w:rPr>
          <w:sz w:val="14"/>
          <w:szCs w:val="14"/>
        </w:rPr>
        <w:t xml:space="preserve">OVERNMENT </w:t>
      </w:r>
      <w:r>
        <w:t>37 (1955).</w:t>
      </w:r>
    </w:p>
    <w:p w14:paraId="20785877" w14:textId="79762C37" w:rsidR="00EF339C" w:rsidRDefault="00E37CA4" w:rsidP="00EF339C">
      <w:pPr>
        <w:pStyle w:val="Contention2"/>
      </w:pPr>
      <w:bookmarkStart w:id="40" w:name="_Toc304930370"/>
      <w:bookmarkStart w:id="41" w:name="_Toc304984146"/>
      <w:r>
        <w:t>Court caseload is like pulling the thread on a tapestry</w:t>
      </w:r>
      <w:bookmarkEnd w:id="40"/>
      <w:bookmarkEnd w:id="41"/>
    </w:p>
    <w:p w14:paraId="204109B4" w14:textId="55AF6A1F" w:rsidR="00222BBE" w:rsidRPr="003B2A36" w:rsidRDefault="00EF339C" w:rsidP="00EF339C">
      <w:pPr>
        <w:pStyle w:val="Citation3"/>
        <w:rPr>
          <w:i w:val="0"/>
        </w:rPr>
      </w:pPr>
      <w:r w:rsidRPr="00AD61DF">
        <w:rPr>
          <w:u w:val="single"/>
        </w:rPr>
        <w:t>Prof. David R. Cleveland 2013</w:t>
      </w:r>
      <w:r w:rsidRPr="00A968F1">
        <w:t xml:space="preserve"> (Associate Professor of Law, Valparaiso University Law Center) CLEVELAND STATE LAW REVIEW “POST-CRISIS RECONSIDERATION OF FEDERAL COURT REFORM” </w:t>
      </w:r>
      <w:hyperlink r:id="rId28" w:history="1">
        <w:r w:rsidR="003B2A36" w:rsidRPr="003B2A36">
          <w:rPr>
            <w:rStyle w:val="Hyperlink"/>
          </w:rPr>
          <w:t>http://engagedscholarship.csuohio.edu/cgi/viewcontent.cgi?article=1397&amp;context=clevstl rev</w:t>
        </w:r>
      </w:hyperlink>
    </w:p>
    <w:p w14:paraId="226EEE1A" w14:textId="128451EA" w:rsidR="00EF339C" w:rsidRDefault="00EF339C" w:rsidP="00EF339C">
      <w:pPr>
        <w:pStyle w:val="Evidence"/>
      </w:pPr>
      <w:r>
        <w:t xml:space="preserve">Resolving this problem seems to be a bit like trying to fix a snag in a tapestry; there are a number of threads that could be pulled, but doing so would have uncertain results on both the problem thread and elsewhere on the tapestry. There has been reluctance to do any but the most minor tweaking, but as the snag grows and threatens to continue to grow, undermining the integrity of the entire garment, something must be done. </w:t>
      </w:r>
    </w:p>
    <w:p w14:paraId="16BB2580" w14:textId="5DB74152" w:rsidR="006425C4" w:rsidRDefault="003548DB" w:rsidP="003548DB">
      <w:pPr>
        <w:pStyle w:val="Contention2"/>
      </w:pPr>
      <w:bookmarkStart w:id="42" w:name="_Toc304930371"/>
      <w:bookmarkStart w:id="43" w:name="_Toc304984147"/>
      <w:r w:rsidRPr="003548DB">
        <w:t xml:space="preserve">Diversity reform </w:t>
      </w:r>
      <w:r w:rsidR="0004326E">
        <w:t>advocacy</w:t>
      </w:r>
      <w:r w:rsidRPr="003548DB">
        <w:t xml:space="preserve"> goes back a long ways.  Commenting on a 1971 bill that would have done our plan, 4th Circuit Court of Appeals </w:t>
      </w:r>
      <w:r>
        <w:t xml:space="preserve">Chief Judge Clement </w:t>
      </w:r>
      <w:r w:rsidRPr="003548DB">
        <w:t>Haynsworth said back then:</w:t>
      </w:r>
      <w:bookmarkEnd w:id="42"/>
      <w:bookmarkEnd w:id="43"/>
    </w:p>
    <w:p w14:paraId="0812C293" w14:textId="2C5D7C11" w:rsidR="003548DB" w:rsidRPr="003548DB" w:rsidRDefault="003548DB" w:rsidP="002F38D4">
      <w:pPr>
        <w:pStyle w:val="Citation3"/>
      </w:pPr>
      <w:r w:rsidRPr="003548DB">
        <w:rPr>
          <w:u w:val="single"/>
        </w:rPr>
        <w:t>Judge Clement Haynsworth 1971</w:t>
      </w:r>
      <w:r w:rsidRPr="003548DB">
        <w:t xml:space="preserve"> (Chief Judge, 4th Circuit Court of Appeals) 30 Sept 1971 quoted in CQ ALMANAC, Federal Jurisdiction </w:t>
      </w:r>
      <w:hyperlink r:id="rId29" w:tgtFrame="_blank" w:history="1">
        <w:r w:rsidR="002F38D4" w:rsidRPr="002F38D4">
          <w:rPr>
            <w:rStyle w:val="Hyperlink"/>
          </w:rPr>
          <w:t>https://www.google.fr/url?sa=t&amp;rct=j&amp;q=&amp;esrc=s&amp;source=web&amp;cd=1&amp;cad=rja&amp;uact=8&amp;ved=0CCAQFjAAahUKEwjsyaOumIbIAhUGOxoKHeGSB3I&amp;url=http%3A%2F%2Flibrary.cqpress.com%2Fcqalmanac%2Fdocument.php%3Fid%3Dcqal71-1254515&amp;usg=AFQjCNFXu51nDXxLMDXBMdYN34rnxKS4kg&amp;sig2=w9qg7StiAm0n5iVvdSa4Vg</w:t>
        </w:r>
      </w:hyperlink>
    </w:p>
    <w:p w14:paraId="2DE26458" w14:textId="2BF05CD3" w:rsidR="003548DB" w:rsidRDefault="003548DB" w:rsidP="003548DB">
      <w:pPr>
        <w:pStyle w:val="Evidence"/>
      </w:pPr>
      <w:r w:rsidRPr="003548DB">
        <w:t>There is a need to draw clearer lines between federal and state court jurisdiction. Courts dealing with interstate suits waste a lot of time deciding whether federal or state courts have jurisdiction.</w:t>
      </w:r>
    </w:p>
    <w:p w14:paraId="7429BCA6" w14:textId="5F1AEFE7" w:rsidR="0004326E" w:rsidRDefault="0004326E" w:rsidP="0004326E">
      <w:pPr>
        <w:pStyle w:val="Contention1"/>
      </w:pPr>
      <w:bookmarkStart w:id="44" w:name="_Toc304930372"/>
      <w:bookmarkStart w:id="45" w:name="_Toc304984148"/>
      <w:r>
        <w:t>HISTORY / BACKGROUND</w:t>
      </w:r>
      <w:bookmarkEnd w:id="44"/>
      <w:bookmarkEnd w:id="45"/>
    </w:p>
    <w:p w14:paraId="3F5C8CDC" w14:textId="69A1A15F" w:rsidR="0004326E" w:rsidRDefault="0004326E" w:rsidP="0004326E">
      <w:pPr>
        <w:pStyle w:val="Contention2"/>
      </w:pPr>
      <w:bookmarkStart w:id="46" w:name="_Toc304930373"/>
      <w:bookmarkStart w:id="47" w:name="_Toc304984149"/>
      <w:r>
        <w:t>Historical origin of federal diversity jurisdiction, and why it was needed back in the 1700s</w:t>
      </w:r>
      <w:bookmarkEnd w:id="46"/>
      <w:bookmarkEnd w:id="47"/>
    </w:p>
    <w:p w14:paraId="4D6F3BF9" w14:textId="186AAAAB" w:rsidR="0004326E" w:rsidRPr="005712BF" w:rsidRDefault="0004326E" w:rsidP="0004326E">
      <w:pPr>
        <w:pStyle w:val="Citation3"/>
      </w:pPr>
      <w:r w:rsidRPr="005712BF">
        <w:rPr>
          <w:u w:val="single"/>
        </w:rPr>
        <w:t>Nima Mohebbi, Craig Reiser, and Samuel Greenberg 2013</w:t>
      </w:r>
      <w:r w:rsidRPr="005712BF">
        <w:t xml:space="preserve"> (Mohebbi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 ) A Dynamic Formula for the Amount in Controversy, FEDERAL COURTS LAW REVIEW  </w:t>
      </w:r>
      <w:hyperlink r:id="rId30" w:history="1">
        <w:r w:rsidR="003B2A36" w:rsidRPr="0092046C">
          <w:rPr>
            <w:rStyle w:val="Hyperlink"/>
          </w:rPr>
          <w:t>http://www.fclr.org/fclr/articles/html/2010/dynamic.pdf</w:t>
        </w:r>
      </w:hyperlink>
      <w:r w:rsidR="003B2A36">
        <w:t xml:space="preserve"> </w:t>
      </w:r>
    </w:p>
    <w:p w14:paraId="0037288A" w14:textId="3DA572D6" w:rsidR="0004326E" w:rsidRPr="003548DB" w:rsidRDefault="0004326E" w:rsidP="0004326E">
      <w:pPr>
        <w:pStyle w:val="Evidence"/>
      </w:pPr>
      <w:r>
        <w:t>Diversity jurisdiction was meant to protect out-of-state litigants from judicial bias in a time when America could perhaps be fairly characterized as a collection of different states, rather than an entity that comprised them within its united whole.</w:t>
      </w:r>
      <w:r>
        <w:rPr>
          <w:sz w:val="14"/>
          <w:szCs w:val="14"/>
        </w:rPr>
        <w:t xml:space="preserve"> </w:t>
      </w:r>
      <w:r>
        <w:t>Indeed, “the formation of a national judiciary appointed for life that was vested with diversity jurisdiction provided an assurance of impartial administration of the law for the protection of out-of-staters, and thus assuaged fears that the rights guaranteed by the Constitution might not be available in the local courts.”</w:t>
      </w:r>
    </w:p>
    <w:p w14:paraId="4BEB0A6B" w14:textId="58BCCDA8" w:rsidR="005D3CAF" w:rsidRDefault="005D3CAF" w:rsidP="00DC0670">
      <w:pPr>
        <w:pStyle w:val="Contention1"/>
      </w:pPr>
      <w:bookmarkStart w:id="48" w:name="_Toc304930374"/>
      <w:bookmarkStart w:id="49" w:name="_Toc304984150"/>
      <w:r>
        <w:lastRenderedPageBreak/>
        <w:t>GOAL / CRITERIA</w:t>
      </w:r>
      <w:bookmarkEnd w:id="48"/>
      <w:bookmarkEnd w:id="49"/>
    </w:p>
    <w:p w14:paraId="7AB65368" w14:textId="3FAAC932" w:rsidR="00282955" w:rsidRDefault="00282955" w:rsidP="00282955">
      <w:pPr>
        <w:pStyle w:val="Contention2"/>
      </w:pPr>
      <w:bookmarkStart w:id="50" w:name="_Toc304930375"/>
      <w:bookmarkStart w:id="51" w:name="_Toc304984151"/>
      <w:r>
        <w:t>Net benefits:  The harm done by diversity jurisdiction greatly exceeds any supposed benefits</w:t>
      </w:r>
      <w:bookmarkEnd w:id="50"/>
      <w:bookmarkEnd w:id="51"/>
    </w:p>
    <w:p w14:paraId="4702F5C9" w14:textId="2D4E474F" w:rsidR="00282955" w:rsidRDefault="00282955" w:rsidP="00282955">
      <w:pPr>
        <w:pStyle w:val="Citation3"/>
      </w:pPr>
      <w:r w:rsidRPr="00A968F1">
        <w:rPr>
          <w:u w:val="single"/>
        </w:rPr>
        <w:t>Prof. David Crump 2010</w:t>
      </w:r>
      <w:r>
        <w:t xml:space="preserve"> (J.D.; </w:t>
      </w:r>
      <w:r w:rsidRPr="005C05E0">
        <w:t xml:space="preserve">Professor of Law, University of Houston Law Center) THE CASE FOR RESTRICTING DIVERSITY JURISDICTION: THE UNDEVELOPED ARGUMENTS, FROM THE RACE TO THE BOTTOM TO THE SUBSTITUTION EFFECT </w:t>
      </w:r>
      <w:hyperlink r:id="rId31" w:history="1">
        <w:r w:rsidR="003B2A36" w:rsidRPr="0092046C">
          <w:rPr>
            <w:rStyle w:val="Hyperlink"/>
          </w:rPr>
          <w:t>http://works.bepress.com/david_crump/6/</w:t>
        </w:r>
      </w:hyperlink>
      <w:r w:rsidR="003B2A36">
        <w:t xml:space="preserve"> </w:t>
      </w:r>
    </w:p>
    <w:p w14:paraId="48858765" w14:textId="0650DBA1" w:rsidR="00282955" w:rsidRPr="00282955" w:rsidRDefault="00282955" w:rsidP="00282955">
      <w:pPr>
        <w:pStyle w:val="Evidence"/>
      </w:pPr>
      <w:r w:rsidRPr="00282955">
        <w:t>Evaluation of the balance between these arguments depends upon whether one believes that local prejudice is a greater problem than the difficulties created by diversity jurisdiction. The thesis that this article will develop is that the harm done by diversity greatly exceeds any putative benefits, and in addition, that diversity does not really do much to counteract local prejudice anyway.</w:t>
      </w:r>
    </w:p>
    <w:p w14:paraId="14432F64" w14:textId="43E30C14" w:rsidR="005D3CAF" w:rsidRDefault="005D3CAF" w:rsidP="005D3CAF">
      <w:pPr>
        <w:pStyle w:val="Contention2"/>
      </w:pPr>
      <w:bookmarkStart w:id="52" w:name="_Toc304930376"/>
      <w:bookmarkStart w:id="53" w:name="_Toc304984152"/>
      <w:r>
        <w:t>5 Criteria summarized in 3 values:  Access, Fairness and Accountability</w:t>
      </w:r>
      <w:bookmarkEnd w:id="52"/>
      <w:bookmarkEnd w:id="53"/>
    </w:p>
    <w:p w14:paraId="707DD47C" w14:textId="199A1EDF" w:rsidR="005D3CAF" w:rsidRPr="003B2A36" w:rsidRDefault="005D3CAF" w:rsidP="005D3CAF">
      <w:pPr>
        <w:pStyle w:val="Citation3"/>
        <w:rPr>
          <w:i w:val="0"/>
        </w:rPr>
      </w:pPr>
      <w:r w:rsidRPr="00AD61DF">
        <w:rPr>
          <w:u w:val="single"/>
        </w:rPr>
        <w:t>Prof. David R. Cleveland 2013</w:t>
      </w:r>
      <w:r w:rsidRPr="00A968F1">
        <w:t xml:space="preserve"> (Associate Professor of Law, Valparaiso University Law Center) CLEVELAND STATE LAW REVIEW “POST-CRISIS RECONSIDERATION OF FEDERAL COURT REFORM” </w:t>
      </w:r>
      <w:hyperlink r:id="rId32" w:history="1">
        <w:r w:rsidRPr="003B2A36">
          <w:rPr>
            <w:rStyle w:val="Hyperlink"/>
          </w:rPr>
          <w:t>http://engagedscholarship.csuohio.edu/cgi/viewcontent.cgi?article=1397&amp;context=clevstl rev</w:t>
        </w:r>
      </w:hyperlink>
    </w:p>
    <w:p w14:paraId="12FB962C" w14:textId="78533D6B" w:rsidR="005D3CAF" w:rsidRPr="005D3CAF" w:rsidRDefault="005D3CAF" w:rsidP="005D3CAF">
      <w:pPr>
        <w:pStyle w:val="Evidence"/>
      </w:pPr>
      <w:r>
        <w:t>While reducing the problems associated with caseload volume is important, other important values of appellate justice should not be compromised in the process. Litigants have the right to expect their appellate case to be: (1) decided upon by a panel of impartial Article III judges; (2) in a timely and expeditious manner; (3) according to the rule of law as set forth in past precedents; (4) for reasons set forth by the court in its decision; (5) which the court is willing to stand by.</w:t>
      </w:r>
      <w:r>
        <w:rPr>
          <w:sz w:val="12"/>
          <w:szCs w:val="12"/>
        </w:rPr>
        <w:t xml:space="preserve"> </w:t>
      </w:r>
      <w:r>
        <w:t xml:space="preserve">These values can be distilled down to concerns about access, fairness, and accountability. </w:t>
      </w:r>
      <w:r w:rsidRPr="005D3CAF">
        <w:t>Proposed reforms should promote these values whenever possible, and particular caution should be taken when a proposed reform impairs one of these values at the expense of another. Prior reforms should be carefully reviewed through the lens of these values, and where they impede rather than promote these values, they should be reconsidered.</w:t>
      </w:r>
    </w:p>
    <w:p w14:paraId="44D05F3B" w14:textId="47788C78" w:rsidR="00762A87" w:rsidRDefault="00762A87" w:rsidP="00DC0670">
      <w:pPr>
        <w:pStyle w:val="Contention1"/>
      </w:pPr>
      <w:bookmarkStart w:id="54" w:name="_Toc304930377"/>
      <w:bookmarkStart w:id="55" w:name="_Toc304984153"/>
      <w:r>
        <w:t>HARMS / SIGNIFICANCE</w:t>
      </w:r>
      <w:bookmarkEnd w:id="54"/>
      <w:bookmarkEnd w:id="55"/>
    </w:p>
    <w:p w14:paraId="5A35EC8E" w14:textId="2048451E" w:rsidR="00940626" w:rsidRDefault="00940626" w:rsidP="00940626">
      <w:pPr>
        <w:pStyle w:val="Contention2"/>
      </w:pPr>
      <w:bookmarkStart w:id="56" w:name="_Toc304930378"/>
      <w:bookmarkStart w:id="57" w:name="_Toc304984154"/>
      <w:r>
        <w:t>Quantification:  There are about 100,000 federal diversity cases per year</w:t>
      </w:r>
      <w:bookmarkEnd w:id="56"/>
      <w:bookmarkEnd w:id="57"/>
    </w:p>
    <w:p w14:paraId="538CC387" w14:textId="48C6C9DA" w:rsidR="00940626" w:rsidRDefault="00940626" w:rsidP="00940626">
      <w:pPr>
        <w:pStyle w:val="Citation3"/>
      </w:pPr>
      <w:r w:rsidRPr="008C045B">
        <w:rPr>
          <w:u w:val="single"/>
        </w:rPr>
        <w:t>Dr. David W. Neubauer and Dr. Stephen S. Meinhold 2012</w:t>
      </w:r>
      <w:r>
        <w:t xml:space="preserve"> (Neubauer – PhD; former chair of the Dept of Political Science at Univ. of New Orleans. Meinhold – PhD; Professor of Political Science at Univ of N.C.-Wilmington)  JUDICIAL PROCESS – LAW COURTS AND POLITICS IN THE UNITED STATES, 6</w:t>
      </w:r>
      <w:r w:rsidRPr="008C045B">
        <w:rPr>
          <w:vertAlign w:val="superscript"/>
        </w:rPr>
        <w:t>th</w:t>
      </w:r>
      <w:r>
        <w:t xml:space="preserve"> edition </w:t>
      </w:r>
      <w:hyperlink r:id="rId33" w:anchor="v=onepage&amp;q=%22diversity%20jurisdiction%22%20caseload%20federal&amp;f=false" w:history="1">
        <w:r w:rsidR="003B2A36" w:rsidRPr="0092046C">
          <w:rPr>
            <w:rStyle w:val="Hyperlink"/>
          </w:rPr>
          <w:t>https://books.google.fr/books?id=x7fOVPmlS4MC&amp;pg=PA61&amp;lpg=PA61&amp;dq=%22diversity+jurisdiction%22+caseload+federal&amp;source=bl&amp;ots=r79Q5I-orC&amp;sig=yGpnoHyJ8VzQ7lBoOiA8swPUIxE&amp;hl=fr&amp;sa=X&amp;ved=0CEUQ6AEwBGoVChMItNCBr-XixgIVRFQUCh1jrAL1#v=onepage&amp;q=%22diversity%20jurisdiction%22%20caseload%20federal&amp;f=false</w:t>
        </w:r>
      </w:hyperlink>
      <w:r w:rsidR="003B2A36">
        <w:t xml:space="preserve"> </w:t>
      </w:r>
    </w:p>
    <w:p w14:paraId="287B3CE4" w14:textId="2066BC08" w:rsidR="00940626" w:rsidRDefault="00940626" w:rsidP="00940626">
      <w:pPr>
        <w:pStyle w:val="Evidence"/>
      </w:pPr>
      <w:r>
        <w:rPr>
          <w:noProof/>
          <w:lang w:eastAsia="en-US"/>
        </w:rPr>
        <w:drawing>
          <wp:inline distT="0" distB="0" distL="0" distR="0" wp14:anchorId="7DF7ACDE" wp14:editId="6CE2C334">
            <wp:extent cx="4687570" cy="1692275"/>
            <wp:effectExtent l="0" t="0" r="1143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BEBA8EAE-BF5A-486C-A8C5-ECC9F3942E4B}">
                          <a14:imgProps xmlns:a14="http://schemas.microsoft.com/office/drawing/2010/main">
                            <a14:imgLayer r:embed="rId35">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4687570" cy="1692275"/>
                    </a:xfrm>
                    <a:prstGeom prst="rect">
                      <a:avLst/>
                    </a:prstGeom>
                    <a:noFill/>
                    <a:ln>
                      <a:noFill/>
                    </a:ln>
                  </pic:spPr>
                </pic:pic>
              </a:graphicData>
            </a:graphic>
          </wp:inline>
        </w:drawing>
      </w:r>
    </w:p>
    <w:p w14:paraId="3650C25D" w14:textId="702FE49B" w:rsidR="00BF12FD" w:rsidRDefault="00BF12FD" w:rsidP="00BF12FD">
      <w:pPr>
        <w:pStyle w:val="Contention2"/>
      </w:pPr>
      <w:bookmarkStart w:id="58" w:name="_Toc304930379"/>
      <w:bookmarkStart w:id="59" w:name="_Toc304984155"/>
      <w:r>
        <w:lastRenderedPageBreak/>
        <w:t>Overloaded appellate courts mean less justice for the underprivileged</w:t>
      </w:r>
      <w:bookmarkEnd w:id="58"/>
      <w:bookmarkEnd w:id="59"/>
    </w:p>
    <w:p w14:paraId="5DFEA5F2" w14:textId="0D312FBA" w:rsidR="00375C47" w:rsidRDefault="00375C47" w:rsidP="00375C47">
      <w:pPr>
        <w:pStyle w:val="Citation3"/>
      </w:pPr>
      <w:r w:rsidRPr="006B74F8">
        <w:rPr>
          <w:u w:val="single"/>
        </w:rPr>
        <w:t>Prof. Marvin K. Levy 2014</w:t>
      </w:r>
      <w:r w:rsidRPr="006B74F8">
        <w:t xml:space="preserve"> (Associate Professor of Law, Duke University School of Law) Judging Justice on Appeal, YALE LAW JOURNAL  Volume 123 </w:t>
      </w:r>
      <w:hyperlink r:id="rId36" w:history="1">
        <w:r w:rsidRPr="006B74F8">
          <w:rPr>
            <w:rStyle w:val="Hyperlink"/>
            <w:sz w:val="18"/>
            <w:szCs w:val="18"/>
          </w:rPr>
          <w:t>http://scholarship.law.duke.edu/cgi/viewcontent.cgi?article=6009&amp;context=faculty_scholarship</w:t>
        </w:r>
      </w:hyperlink>
    </w:p>
    <w:p w14:paraId="533D4293" w14:textId="6017BA47" w:rsidR="00BF12FD" w:rsidRDefault="00BF12FD" w:rsidP="00BF12FD">
      <w:pPr>
        <w:pStyle w:val="Evidence"/>
      </w:pPr>
      <w:r w:rsidRPr="003B2A36">
        <w:t>Accordingly</w:t>
      </w:r>
      <w:r w:rsidRPr="003B2A36">
        <w:rPr>
          <w:u w:val="single"/>
        </w:rPr>
        <w:t>, it is not simply that some litigants bear the costs of the judiciary’s decision to pare down the process that it generally affords appellants, but rather that certain litigants bear the majority of these costs. In this way, the case-management practices of the courts have something of a disparate impact on the different appellants who come before them, with, as the authors argue, those who are socially and economically disadvantaged receiving a lower quality of justice. From the authors’ standpoint, the federal courts that exist for the benefit of society now underserve a huge swath</w:t>
      </w:r>
      <w:r w:rsidRPr="00375C47">
        <w:rPr>
          <w:u w:val="single"/>
        </w:rPr>
        <w:t xml:space="preserve"> of the population—the same swath that is underprivileged more generally</w:t>
      </w:r>
      <w:r w:rsidRPr="00BF12FD">
        <w:t xml:space="preserve">. It is this inequality (reinforcing a broader inequality) that stands as the “injustice” in </w:t>
      </w:r>
      <w:r w:rsidRPr="00BF12FD">
        <w:rPr>
          <w:i/>
        </w:rPr>
        <w:t>Injustice on Appeal</w:t>
      </w:r>
      <w:r w:rsidRPr="00BF12FD">
        <w:t>.</w:t>
      </w:r>
    </w:p>
    <w:p w14:paraId="16347E77" w14:textId="77777777" w:rsidR="00F346FA" w:rsidRDefault="00F346FA" w:rsidP="00F346FA">
      <w:pPr>
        <w:pStyle w:val="Contention2"/>
      </w:pPr>
      <w:bookmarkStart w:id="60" w:name="_Toc304930380"/>
      <w:bookmarkStart w:id="61" w:name="_Toc304984156"/>
      <w:r>
        <w:t>Caseload is large and growing. Status Quo is managing it by shortchanging the process</w:t>
      </w:r>
      <w:bookmarkEnd w:id="60"/>
      <w:bookmarkEnd w:id="61"/>
    </w:p>
    <w:p w14:paraId="4ED9EB63" w14:textId="77777777" w:rsidR="003B2A36" w:rsidRDefault="00F346FA" w:rsidP="00D532E9">
      <w:pPr>
        <w:pStyle w:val="Citation3"/>
      </w:pPr>
      <w:r w:rsidRPr="00AD61DF">
        <w:rPr>
          <w:u w:val="single"/>
        </w:rPr>
        <w:t>Prof. David R. Cleveland 2013</w:t>
      </w:r>
      <w:r w:rsidRPr="00A968F1">
        <w:t xml:space="preserve"> (Associate Professor of Law, Valparaiso University Law Center) CLEVELAND STATE LAW REVIEW “POST-CRISIS RECONSIDERATION OF FEDERAL COURT REFORM” </w:t>
      </w:r>
      <w:hyperlink r:id="rId37" w:history="1">
        <w:r w:rsidR="003B2A36" w:rsidRPr="003B2A36">
          <w:rPr>
            <w:rStyle w:val="Hyperlink"/>
          </w:rPr>
          <w:t>http://engagedscholarship.csuohio.edu/cgi/viewcontent.cgi?article=1397&amp;context=clevstl rev</w:t>
        </w:r>
      </w:hyperlink>
    </w:p>
    <w:p w14:paraId="32A8E507" w14:textId="19280AAF" w:rsidR="00F346FA" w:rsidRDefault="00F346FA" w:rsidP="00F346FA">
      <w:pPr>
        <w:pStyle w:val="Evidence"/>
      </w:pPr>
      <w:r w:rsidRPr="003B2A36">
        <w:rPr>
          <w:i/>
        </w:rPr>
        <w:t>Internal</w:t>
      </w:r>
      <w:r>
        <w:t xml:space="preserve"> reforms have been plentiful but not without cost. Streamlining case management, putting greater authority in the hands of staff, and forgoing the publication and precedential value of most of the federal circuits’ decisions have resulted in a significantly more efficient process but at the cost of core values of appellate decision-making. As one experienced federal court reform expert describes it:</w:t>
      </w:r>
      <w:r>
        <w:br/>
        <w:t>Today, most of us seem to be content in believing that the courts of appeals survived the “crisis of volume,” whether it was real or imagined. The courts have maintained an appellate equilibrium: They manage to decide about as many appeals as are filed each year. This is important and significant. Cases are not queuing up on the docket, although disposition times have increased appreciably. Furthermore, we now take for granted what were once characterized as “emergency” procedures. We have lowered our expectations for appellate procedure. We have defined down our appellate values. We have all internalized the postmodern norms of minimalist procedural paradigm.</w:t>
      </w:r>
      <w:r>
        <w:rPr>
          <w:sz w:val="12"/>
          <w:szCs w:val="12"/>
        </w:rPr>
        <w:t xml:space="preserve"> </w:t>
      </w:r>
      <w:r>
        <w:rPr>
          <w:sz w:val="12"/>
          <w:szCs w:val="12"/>
        </w:rPr>
        <w:br/>
      </w:r>
      <w:r>
        <w:t>External reforms, such as major restructuring or altering the federal courts’ jurisdiction, have not been forthcoming, likely because those changes would have to be imposed on the courts by Congress, and the changes are viewed as too radical.</w:t>
      </w:r>
      <w:r>
        <w:rPr>
          <w:sz w:val="12"/>
          <w:szCs w:val="12"/>
        </w:rPr>
        <w:t xml:space="preserve"> </w:t>
      </w:r>
      <w:r>
        <w:t>While many have backed off of the “crisis” verbiage, most still acknowledge a large and growing caseload in the federal courts.</w:t>
      </w:r>
    </w:p>
    <w:p w14:paraId="2B7B31BD" w14:textId="006F875C" w:rsidR="00CB11A6" w:rsidRDefault="00CB11A6" w:rsidP="00CB11A6">
      <w:pPr>
        <w:pStyle w:val="Contention2"/>
      </w:pPr>
      <w:bookmarkStart w:id="62" w:name="_Toc304930381"/>
      <w:bookmarkStart w:id="63" w:name="_Toc304984157"/>
      <w:r>
        <w:t>Bloated diversity caseload limits courts’ ability to provide justice</w:t>
      </w:r>
      <w:bookmarkEnd w:id="62"/>
      <w:bookmarkEnd w:id="63"/>
    </w:p>
    <w:p w14:paraId="20FCC043" w14:textId="0DD3D14F" w:rsidR="00CB11A6" w:rsidRPr="005712BF" w:rsidRDefault="00CB11A6" w:rsidP="00CB11A6">
      <w:pPr>
        <w:pStyle w:val="Citation3"/>
      </w:pPr>
      <w:r w:rsidRPr="005712BF">
        <w:rPr>
          <w:u w:val="single"/>
        </w:rPr>
        <w:t>Nima Mohebbi, Craig Reiser, and Samuel Greenberg 2013</w:t>
      </w:r>
      <w:r w:rsidRPr="005712BF">
        <w:t xml:space="preserve"> (Mohebbi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 ) A Dynamic Formula for the Amount in Controversy, FEDERAL COURTS LAW REVIEW  </w:t>
      </w:r>
      <w:hyperlink r:id="rId38" w:history="1">
        <w:r w:rsidR="003B2A36" w:rsidRPr="0092046C">
          <w:rPr>
            <w:rStyle w:val="Hyperlink"/>
          </w:rPr>
          <w:t>http://www.fclr.org/fclr/articles/html/2010/dynamic.pdf</w:t>
        </w:r>
      </w:hyperlink>
      <w:r w:rsidR="003B2A36">
        <w:t xml:space="preserve"> </w:t>
      </w:r>
    </w:p>
    <w:p w14:paraId="371ECE34" w14:textId="310E3E52" w:rsidR="00CB11A6" w:rsidRDefault="00CB11A6" w:rsidP="00CB11A6">
      <w:pPr>
        <w:pStyle w:val="Evidence"/>
      </w:pPr>
      <w:r>
        <w:t xml:space="preserve">While our proposal that Congress adopt a dynamic formula for adjusting the amount in controversy could perhaps be characterized as a exercise in thought provocation, the problem that prompted it is very real. </w:t>
      </w:r>
      <w:r w:rsidRPr="00CB11A6">
        <w:rPr>
          <w:u w:val="single"/>
        </w:rPr>
        <w:t>A bloated federal diversity docket limits the judiciary’s ability to provide justice for all litigants, as it compels longer decisional periods and less attention to other matters.</w:t>
      </w:r>
    </w:p>
    <w:p w14:paraId="1225B541" w14:textId="6A04DD83" w:rsidR="00375C47" w:rsidRDefault="00375C47" w:rsidP="00375C47">
      <w:pPr>
        <w:pStyle w:val="Contention2"/>
      </w:pPr>
      <w:bookmarkStart w:id="64" w:name="_Toc304930382"/>
      <w:bookmarkStart w:id="65" w:name="_Toc304984158"/>
      <w:r>
        <w:lastRenderedPageBreak/>
        <w:t>Lack of time to do a complete review of cases calls into question the purpose of an appellate system.  If they’re not really reviewing the cases, why do we need them?</w:t>
      </w:r>
      <w:bookmarkEnd w:id="64"/>
      <w:bookmarkEnd w:id="65"/>
    </w:p>
    <w:p w14:paraId="1CF8DC3C" w14:textId="77777777" w:rsidR="00375C47" w:rsidRDefault="00375C47" w:rsidP="00375C47">
      <w:pPr>
        <w:pStyle w:val="Citation3"/>
      </w:pPr>
      <w:r w:rsidRPr="006B74F8">
        <w:rPr>
          <w:u w:val="single"/>
        </w:rPr>
        <w:t>Prof. Marvin K. Levy 2014</w:t>
      </w:r>
      <w:r w:rsidRPr="006B74F8">
        <w:t xml:space="preserve"> (Associate Professor of Law, Duke University School of Law) Judging Justice on Appeal, YALE LAW JOURNAL  Volume 123 </w:t>
      </w:r>
      <w:hyperlink r:id="rId39" w:history="1">
        <w:r w:rsidRPr="006B74F8">
          <w:rPr>
            <w:rStyle w:val="Hyperlink"/>
            <w:sz w:val="18"/>
            <w:szCs w:val="18"/>
          </w:rPr>
          <w:t>http://scholarship.law.duke.edu/cgi/viewcontent.cgi?article=6009&amp;context=faculty_scholarship</w:t>
        </w:r>
      </w:hyperlink>
    </w:p>
    <w:p w14:paraId="39429F4D" w14:textId="265EE49D" w:rsidR="00375C47" w:rsidRPr="00BF12FD" w:rsidRDefault="00375C47" w:rsidP="00375C47">
      <w:pPr>
        <w:pStyle w:val="Evidence"/>
      </w:pPr>
      <w:r>
        <w:t>Richman and Reynolds point out, quite powerfully, that the courts of appeals now resemble certiorari courts, with the judges essentially having the meta-ability to decide what they will decide.</w:t>
      </w:r>
      <w:r>
        <w:rPr>
          <w:sz w:val="14"/>
          <w:szCs w:val="14"/>
        </w:rPr>
        <w:t xml:space="preserve"> </w:t>
      </w:r>
      <w:r>
        <w:t>This is a critical change from the judiciary’s earlier days in two respects. First, it has a fundamental impact on the nature of our court system. It is one thing not to guarantee review by the Supreme Court, as that usually amounts to a second review of the initial district court decision. But to not guarantee full review by even the intermediate appellate courts means that some portion of district court decisions will be virtually unchecked, thereby calling into question the very notion of an appellate system.</w:t>
      </w:r>
    </w:p>
    <w:p w14:paraId="02BB6CDF" w14:textId="08032983" w:rsidR="000F5642" w:rsidRDefault="000F5642" w:rsidP="000F5642">
      <w:pPr>
        <w:pStyle w:val="Contention2"/>
      </w:pPr>
      <w:bookmarkStart w:id="66" w:name="_Toc304930383"/>
      <w:bookmarkStart w:id="67" w:name="_Toc304984159"/>
      <w:r>
        <w:t>Diversity jurisdiction leads to “Harassing the Little Guy”:  Adding extra people to a lawsuit just to move it into State court instead of Federal</w:t>
      </w:r>
      <w:bookmarkEnd w:id="66"/>
      <w:bookmarkEnd w:id="67"/>
    </w:p>
    <w:p w14:paraId="375CEB4B" w14:textId="2D7DBF89" w:rsidR="000F5642" w:rsidRPr="005C05E0" w:rsidRDefault="000F5642" w:rsidP="000F5642">
      <w:pPr>
        <w:pStyle w:val="Citation3"/>
      </w:pPr>
      <w:r w:rsidRPr="00A968F1">
        <w:rPr>
          <w:u w:val="single"/>
        </w:rPr>
        <w:t>Prof. David Crump 2010</w:t>
      </w:r>
      <w:r>
        <w:t xml:space="preserve"> (J.D.; </w:t>
      </w:r>
      <w:r w:rsidRPr="005C05E0">
        <w:t>Professor of Law, U</w:t>
      </w:r>
      <w:r w:rsidR="005B7948">
        <w:t>niversity of Houston Law Center</w:t>
      </w:r>
      <w:r w:rsidRPr="005C05E0">
        <w:t xml:space="preserve">) THE CASE FOR RESTRICTING DIVERSITY JURISDICTION: THE UNDEVELOPED ARGUMENTS, FROM THE RACE TO THE BOTTOM TO THE SUBSTITUTION EFFECT </w:t>
      </w:r>
      <w:hyperlink r:id="rId40" w:history="1">
        <w:r w:rsidR="003B2A36" w:rsidRPr="0092046C">
          <w:rPr>
            <w:rStyle w:val="Hyperlink"/>
          </w:rPr>
          <w:t>http://works.bepress.com/david_crump/6/</w:t>
        </w:r>
      </w:hyperlink>
      <w:r w:rsidR="003B2A36">
        <w:t xml:space="preserve"> </w:t>
      </w:r>
    </w:p>
    <w:p w14:paraId="1E7210A0" w14:textId="72606B7E" w:rsidR="00A968F1" w:rsidRDefault="000F5642" w:rsidP="000F5642">
      <w:pPr>
        <w:pStyle w:val="Evidence"/>
      </w:pPr>
      <w:r w:rsidRPr="000F5642">
        <w:t xml:space="preserve">The next point is that this forum shopping takes the form of tailoring the litigation so that it does, or does not, fit the diversity jurisdiction, depending upon which outcome is desired. And </w:t>
      </w:r>
      <w:r w:rsidRPr="000F5642">
        <w:rPr>
          <w:u w:val="single"/>
        </w:rPr>
        <w:t>the main method of tailoring the litigation is to join (or refrain from joining) marginal defendants, not for the purpose of recovering from them on the merits, but solely to create or destroy diversity. The result is a mass of wasteful add-on suits against local citizens who are not really the alleged malefactors, or as the phenomenon might be called, Harassing the Little Guy.</w:t>
      </w:r>
      <w:r w:rsidRPr="000F5642">
        <w:t xml:space="preserve"> Here is how the strategy of manipulating-diversity-by-harassing-the-little-guy works.</w:t>
      </w:r>
      <w:r w:rsidRPr="000F5642">
        <w:rPr>
          <w:u w:val="single"/>
        </w:rPr>
        <w:t xml:space="preserve"> Imagine a plaintiff who has been injured in a bus accident. The plaintiff, let us say, is a local citizen, but the bus company, which is the target defendant, is a citizen of another state. If the plaintiff sues only the bus company, the suit is removable to federal court (or can be filed there).  But assume that the plaintiff believes that the better strategy</w:t>
      </w:r>
      <w:r w:rsidRPr="000F5642">
        <w:t xml:space="preserve">—the more favorable forum, </w:t>
      </w:r>
      <w:r w:rsidRPr="000F5642">
        <w:rPr>
          <w:u w:val="single"/>
        </w:rPr>
        <w:t>the one with a higher likelihood of a big plaintiff’s verdict—is the state court. The plaintiff, then, casts about for someone else who can be joined, a local citizen, who can be used solely for the purpose of destroying diversity. This person may be the bus driver, for example</w:t>
      </w:r>
      <w:r w:rsidRPr="000F5642">
        <w:t>, or a local scheduler or tour company, or someone else involved in the accident</w:t>
      </w:r>
      <w:r w:rsidRPr="000F5642">
        <w:rPr>
          <w:u w:val="single"/>
        </w:rPr>
        <w:t>. The plaintiff then strategically joins this person as a defendant, in addition to the bus company, even though the local person has only derivative liability, if any—or is insolvent, or is unlikely to be held liable at all.  The plaintiff has succeeded, now, in destroying diversity and ensuring that the case must be heard in state court</w:t>
      </w:r>
      <w:r w:rsidRPr="000F5642">
        <w:t xml:space="preserve">. </w:t>
      </w:r>
    </w:p>
    <w:p w14:paraId="173A76E0" w14:textId="5B5A0214" w:rsidR="005B7948" w:rsidRDefault="005B7948" w:rsidP="005B7948">
      <w:pPr>
        <w:pStyle w:val="Contention2"/>
      </w:pPr>
      <w:bookmarkStart w:id="68" w:name="_Toc304930384"/>
      <w:bookmarkStart w:id="69" w:name="_Toc304984160"/>
      <w:r>
        <w:t>Diversity venue shopping encourages corruption and waste</w:t>
      </w:r>
      <w:bookmarkEnd w:id="68"/>
      <w:bookmarkEnd w:id="69"/>
    </w:p>
    <w:p w14:paraId="3C26BC0F" w14:textId="6CEDAAB6" w:rsidR="005B7948" w:rsidRPr="005C05E0" w:rsidRDefault="005B7948" w:rsidP="005B7948">
      <w:pPr>
        <w:pStyle w:val="Citation3"/>
      </w:pPr>
      <w:r w:rsidRPr="00A968F1">
        <w:rPr>
          <w:u w:val="single"/>
        </w:rPr>
        <w:t>Prof. David Crump 2010</w:t>
      </w:r>
      <w:r>
        <w:t xml:space="preserve"> (J.D.; </w:t>
      </w:r>
      <w:r w:rsidRPr="005C05E0">
        <w:t>Professor of Law, U</w:t>
      </w:r>
      <w:r>
        <w:t>niversity of Houston Law Center</w:t>
      </w:r>
      <w:r w:rsidRPr="005C05E0">
        <w:t xml:space="preserve">) THE CASE FOR RESTRICTING DIVERSITY JURISDICTION: THE UNDEVELOPED ARGUMENTS, FROM THE RACE TO THE BOTTOM TO THE SUBSTITUTION EFFECT </w:t>
      </w:r>
      <w:hyperlink r:id="rId41" w:history="1">
        <w:r w:rsidR="003B2A36" w:rsidRPr="0092046C">
          <w:rPr>
            <w:rStyle w:val="Hyperlink"/>
          </w:rPr>
          <w:t>http://works.bepress.com/david_crump/6/</w:t>
        </w:r>
      </w:hyperlink>
      <w:r w:rsidR="003B2A36">
        <w:t xml:space="preserve"> </w:t>
      </w:r>
    </w:p>
    <w:p w14:paraId="67E7D723" w14:textId="422A4EE0" w:rsidR="005B7948" w:rsidRDefault="005B7948" w:rsidP="005B7948">
      <w:pPr>
        <w:pStyle w:val="Evidence"/>
      </w:pPr>
      <w:r w:rsidRPr="005B7948">
        <w:t>And our system encourages shenanigans that manipulate diversity. Imagine a well-connected attorney who helped the local federal judge get his job. Perhaps this well-connected lawyer may have persuaded the state’s senior Senator to recommend the federal judge and thus engineered the federal judge’s appointment, ensuring the federal judge’s everlasting gratitude. In the bus accident case hypothesized above, this well-connected attorney’s strategy would be to sue the out-of-state bus company alone, being careful not to join any local citizens. This strategy would allow the case to be filed in the friendly federal judge’s court. But next, imagine the opposite. Imagine another well-connected plaintiff’s lawyer, who contributed an enormous amount to the state judge’s re-election and served as the state judge’s campaign manager, again ensuring gratitude—but this time on the part of the state judge. This well-connected lawyer will sue the out-of-state bus company as the real target but will also join the bus driver as an additional defendant, because the bus driver is a local citizen. This tactic destroys diversity and prevents removal. The factor that makes the difference is the joinder of a party who makes no difference to the expected recovery, except for destroying diversity. In other words, the race-to-the-bottom, Ice-Bowl strategy motivates lawyers toward tactics that harass little guys and cause significant waste.</w:t>
      </w:r>
    </w:p>
    <w:p w14:paraId="78F13390" w14:textId="77E405E9" w:rsidR="0012195F" w:rsidRDefault="0012195F" w:rsidP="0012195F">
      <w:pPr>
        <w:pStyle w:val="Contention2"/>
      </w:pPr>
      <w:bookmarkStart w:id="70" w:name="_Toc304930385"/>
      <w:bookmarkStart w:id="71" w:name="_Toc304984161"/>
      <w:r>
        <w:lastRenderedPageBreak/>
        <w:t>“Fraudulent joinder” doesn’t solve for harassing the little guy: It’s hard to get himself out of the lawsuit</w:t>
      </w:r>
      <w:bookmarkEnd w:id="70"/>
      <w:bookmarkEnd w:id="71"/>
    </w:p>
    <w:p w14:paraId="73291AEA" w14:textId="1112EF04" w:rsidR="0012195F" w:rsidRPr="005C05E0" w:rsidRDefault="0012195F" w:rsidP="0012195F">
      <w:pPr>
        <w:pStyle w:val="Citation3"/>
      </w:pPr>
      <w:r w:rsidRPr="00A968F1">
        <w:rPr>
          <w:u w:val="single"/>
        </w:rPr>
        <w:t>Prof. David Crump 2010</w:t>
      </w:r>
      <w:r>
        <w:t xml:space="preserve"> (J.D.; </w:t>
      </w:r>
      <w:r w:rsidRPr="005C05E0">
        <w:t>Professor of Law, U</w:t>
      </w:r>
      <w:r>
        <w:t>niversity of Houston Law Center</w:t>
      </w:r>
      <w:r w:rsidRPr="005C05E0">
        <w:t xml:space="preserve">) THE CASE FOR RESTRICTING DIVERSITY JURISDICTION: THE UNDEVELOPED ARGUMENTS, FROM THE RACE TO THE BOTTOM TO THE SUBSTITUTION EFFECT </w:t>
      </w:r>
      <w:hyperlink r:id="rId42" w:history="1">
        <w:r w:rsidR="003B2A36" w:rsidRPr="0092046C">
          <w:rPr>
            <w:rStyle w:val="Hyperlink"/>
          </w:rPr>
          <w:t>http://works.bepress.com/david_crump/6/</w:t>
        </w:r>
      </w:hyperlink>
      <w:r w:rsidR="003B2A36">
        <w:t xml:space="preserve"> </w:t>
      </w:r>
    </w:p>
    <w:p w14:paraId="34A4E3ED" w14:textId="0F0C8871" w:rsidR="0012195F" w:rsidRPr="0012195F" w:rsidRDefault="0012195F" w:rsidP="0012195F">
      <w:pPr>
        <w:pStyle w:val="Evidence"/>
      </w:pPr>
      <w:r w:rsidRPr="0012195F">
        <w:t>Sometimes, the defendant can counter this tactic with a claim of “fraudulent joinder.” That is, the defendant can remove the suit anyway and argue that the local citizen should be disregarded, as a party “collusively made” for the purpose of destroying diversity. But the law makes this fraudulent-joinder tactic very difficult to use, because the defendant must convince the federal court to a legal certainty that there is “no possibility” of liability on the part of the local citizen. Any ambiguity in the facts means that the local citizen stays in the suit and destroys diversity.</w:t>
      </w:r>
    </w:p>
    <w:p w14:paraId="658B38B5" w14:textId="795180CB" w:rsidR="000A37CD" w:rsidRDefault="000A37CD" w:rsidP="000A37CD">
      <w:pPr>
        <w:pStyle w:val="Contention2"/>
      </w:pPr>
      <w:bookmarkStart w:id="72" w:name="_Toc304930386"/>
      <w:bookmarkStart w:id="73" w:name="_Toc304984162"/>
      <w:r>
        <w:t>Federal courts are more expensive than state courts</w:t>
      </w:r>
      <w:bookmarkEnd w:id="72"/>
      <w:bookmarkEnd w:id="73"/>
    </w:p>
    <w:p w14:paraId="4CF54B2B" w14:textId="7619EE8A" w:rsidR="000A37CD" w:rsidRPr="005C05E0" w:rsidRDefault="000A37CD" w:rsidP="000A37CD">
      <w:pPr>
        <w:pStyle w:val="Citation3"/>
      </w:pPr>
      <w:r w:rsidRPr="00A968F1">
        <w:rPr>
          <w:u w:val="single"/>
        </w:rPr>
        <w:t>Prof. David Crump 2010</w:t>
      </w:r>
      <w:r>
        <w:t xml:space="preserve"> (J.D.; </w:t>
      </w:r>
      <w:r w:rsidRPr="005C05E0">
        <w:t>Professor of Law, U</w:t>
      </w:r>
      <w:r>
        <w:t>niversity of Houston Law Center</w:t>
      </w:r>
      <w:r w:rsidRPr="005C05E0">
        <w:t xml:space="preserve">) THE CASE FOR RESTRICTING DIVERSITY JURISDICTION: THE UNDEVELOPED ARGUMENTS, FROM THE RACE TO THE BOTTOM TO THE SUBSTITUTION EFFECT </w:t>
      </w:r>
      <w:hyperlink r:id="rId43" w:history="1">
        <w:r w:rsidR="003B2A36" w:rsidRPr="0092046C">
          <w:rPr>
            <w:rStyle w:val="Hyperlink"/>
          </w:rPr>
          <w:t>http://works.bepress.com/david_crump/6/</w:t>
        </w:r>
      </w:hyperlink>
      <w:r w:rsidR="003B2A36">
        <w:t xml:space="preserve"> </w:t>
      </w:r>
    </w:p>
    <w:p w14:paraId="290B70B1" w14:textId="32F763EB" w:rsidR="000A37CD" w:rsidRDefault="000A37CD" w:rsidP="000A37CD">
      <w:pPr>
        <w:pStyle w:val="Evidence"/>
      </w:pPr>
      <w:r w:rsidRPr="000A37CD">
        <w:rPr>
          <w:u w:val="single"/>
        </w:rPr>
        <w:t>A party wishing to resort to the courts at reasonable expense, in a suit that is not a first-impression landmark, might consider the resulting unpredictability, delay, and expense to be a negative rather than a positive attribute of the federal forum</w:t>
      </w:r>
      <w:r w:rsidRPr="000A37CD">
        <w:t xml:space="preserve">. Such a party may prefer to have the suit handled by the “career bureaucrat” that Professor Neuborne so disdains: a person who has seen these issues before, knows how they have been resolved in the past, and can channel the litigation to resolve them efficiently. </w:t>
      </w:r>
      <w:r w:rsidRPr="000A37CD">
        <w:rPr>
          <w:u w:val="single"/>
        </w:rPr>
        <w:t>Professor Neuborne’s arguments center upon what he calls “constitutional cases,” which may indeed contain a larger set of cases needing expensive handling. But the darker side of this greater expense in the federal courts obviously can be a problem even for the constitutional litigant, and in addition, it is a severe problem for many litigants in the vast majority of federal cases that do not pose constitutional questions but that still are forced to be treated by all the trappings of the expensive federal forum</w:t>
      </w:r>
      <w:r w:rsidRPr="000A37CD">
        <w:t>.</w:t>
      </w:r>
    </w:p>
    <w:p w14:paraId="0A4193F4" w14:textId="240E5B03" w:rsidR="00FA15D7" w:rsidRDefault="00FA15D7" w:rsidP="00FA15D7">
      <w:pPr>
        <w:pStyle w:val="Contention2"/>
      </w:pPr>
      <w:bookmarkStart w:id="74" w:name="_Toc304930387"/>
      <w:bookmarkStart w:id="75" w:name="_Toc304984163"/>
      <w:r>
        <w:t>Civil cases are the vast majority of cases handled in federal c</w:t>
      </w:r>
      <w:r w:rsidR="008C045B">
        <w:t>ourt:  4 times more than criminal cases</w:t>
      </w:r>
      <w:bookmarkEnd w:id="74"/>
      <w:bookmarkEnd w:id="75"/>
    </w:p>
    <w:p w14:paraId="55C63D22" w14:textId="00FDACDC" w:rsidR="008C045B" w:rsidRDefault="008C045B" w:rsidP="008C045B">
      <w:pPr>
        <w:pStyle w:val="Citation3"/>
      </w:pPr>
      <w:r w:rsidRPr="008C045B">
        <w:rPr>
          <w:u w:val="single"/>
        </w:rPr>
        <w:t>Dr. David W. Neubauer and Dr. Stephen S. Meinhold 2012</w:t>
      </w:r>
      <w:r>
        <w:t xml:space="preserve"> (Neubauer – PhD; former chair of the Dept of Political Science at Univ. of New Orleans. Meinhold – PhD; Professor of Political Science at Univ of N.C.-Wilmington)  JUDICIAL PROCESS – LAW COURTS AND POLITICS IN THE UNITED STATES, 6</w:t>
      </w:r>
      <w:r w:rsidRPr="008C045B">
        <w:rPr>
          <w:vertAlign w:val="superscript"/>
        </w:rPr>
        <w:t>th</w:t>
      </w:r>
      <w:r>
        <w:t xml:space="preserve"> edition </w:t>
      </w:r>
      <w:hyperlink r:id="rId44" w:anchor="v=onepage&amp;q=%22diversity%20jurisdiction%22%20caseload%20federal&amp;f=false" w:history="1">
        <w:r w:rsidR="003B2A36" w:rsidRPr="0092046C">
          <w:rPr>
            <w:rStyle w:val="Hyperlink"/>
          </w:rPr>
          <w:t>https://books.google.fr/books?id=x7fOVPmlS4MC&amp;pg=PA61&amp;lpg=PA61&amp;dq=%22diversity+jurisdiction%22+caseload+federal&amp;source=bl&amp;ots=r79Q5I-orC&amp;sig=yGpnoHyJ8VzQ7lBoOiA8swPUIxE&amp;hl=fr&amp;sa=X&amp;ved=0CEUQ6AEwBGoVChMItNCBr-XixgIVRFQUCh1jrAL1#v=onepage&amp;q=%22diversity%20jurisdiction%22%20caseload%20federal&amp;f=false</w:t>
        </w:r>
      </w:hyperlink>
      <w:r w:rsidR="003B2A36">
        <w:t xml:space="preserve"> </w:t>
      </w:r>
    </w:p>
    <w:p w14:paraId="10550E9A" w14:textId="0012DD20" w:rsidR="00FA15D7" w:rsidRPr="000A37CD" w:rsidRDefault="00FA15D7" w:rsidP="00FA15D7">
      <w:pPr>
        <w:pStyle w:val="Evidence"/>
      </w:pPr>
      <w:r w:rsidRPr="00FA15D7">
        <w:rPr>
          <w:noProof/>
          <w:lang w:eastAsia="en-US"/>
        </w:rPr>
        <w:drawing>
          <wp:inline distT="0" distB="0" distL="0" distR="0" wp14:anchorId="53F86F38" wp14:editId="68D9F178">
            <wp:extent cx="4619625" cy="1104900"/>
            <wp:effectExtent l="0" t="0" r="3175"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extLst>
                        <a:ext uri="{BEBA8EAE-BF5A-486C-A8C5-ECC9F3942E4B}">
                          <a14:imgProps xmlns:a14="http://schemas.microsoft.com/office/drawing/2010/main">
                            <a14:imgLayer r:embed="rId46">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4619625" cy="1104900"/>
                    </a:xfrm>
                    <a:prstGeom prst="rect">
                      <a:avLst/>
                    </a:prstGeom>
                    <a:noFill/>
                    <a:ln>
                      <a:noFill/>
                    </a:ln>
                  </pic:spPr>
                </pic:pic>
              </a:graphicData>
            </a:graphic>
          </wp:inline>
        </w:drawing>
      </w:r>
    </w:p>
    <w:p w14:paraId="3680FAFB" w14:textId="0D294C06" w:rsidR="00DC0670" w:rsidRDefault="00DC0670" w:rsidP="00DC0670">
      <w:pPr>
        <w:pStyle w:val="Contention1"/>
      </w:pPr>
      <w:bookmarkStart w:id="76" w:name="_Toc304930388"/>
      <w:bookmarkStart w:id="77" w:name="_Toc304984164"/>
      <w:r>
        <w:lastRenderedPageBreak/>
        <w:t>INHERENCY</w:t>
      </w:r>
      <w:bookmarkEnd w:id="76"/>
      <w:bookmarkEnd w:id="77"/>
    </w:p>
    <w:p w14:paraId="72FF972D" w14:textId="77777777" w:rsidR="00F51544" w:rsidRDefault="00F51544" w:rsidP="00F51544">
      <w:pPr>
        <w:pStyle w:val="Contention2"/>
      </w:pPr>
      <w:bookmarkStart w:id="78" w:name="_Toc304930389"/>
      <w:bookmarkStart w:id="79" w:name="_Toc304984165"/>
      <w:r>
        <w:t>Federal courts have jurisdiction to hear lawsuits between citizens of different states</w:t>
      </w:r>
      <w:bookmarkEnd w:id="78"/>
      <w:bookmarkEnd w:id="79"/>
    </w:p>
    <w:p w14:paraId="52578FE2" w14:textId="7F0C8E4C" w:rsidR="00F51544" w:rsidRPr="009710AF" w:rsidRDefault="00F51544" w:rsidP="00F51544">
      <w:pPr>
        <w:pStyle w:val="Citation3"/>
      </w:pPr>
      <w:r w:rsidRPr="009710AF">
        <w:rPr>
          <w:u w:val="single"/>
        </w:rPr>
        <w:t>Prof. Jeffrey S. Gutman 2013</w:t>
      </w:r>
      <w:r w:rsidRPr="009710AF">
        <w:t xml:space="preserve"> (professor of clinical law at George Washington University Law School ) Federal Practice Manual for Legal Aid Attorneys </w:t>
      </w:r>
      <w:hyperlink r:id="rId47" w:history="1">
        <w:r w:rsidR="003B2A36" w:rsidRPr="0092046C">
          <w:rPr>
            <w:rStyle w:val="Hyperlink"/>
          </w:rPr>
          <w:t>http://federalpracticemanual.org/node/11</w:t>
        </w:r>
      </w:hyperlink>
      <w:r w:rsidR="003B2A36">
        <w:t xml:space="preserve"> </w:t>
      </w:r>
    </w:p>
    <w:p w14:paraId="0437B8BB" w14:textId="77777777" w:rsidR="00F51544" w:rsidRPr="009710AF" w:rsidRDefault="00F51544" w:rsidP="00F51544">
      <w:pPr>
        <w:pStyle w:val="Evidence"/>
      </w:pPr>
      <w:r w:rsidRPr="009710AF">
        <w:rPr>
          <w:u w:val="single"/>
        </w:rPr>
        <w:t>Article III, Section 2, Clause 1 of the Constitution provides that federal judicial power extends to cases between citizens of different states and between a citizen of a state and a citizen of a foreign country. The diversity statute,</w:t>
      </w:r>
      <w:r w:rsidRPr="003B2A36">
        <w:t> </w:t>
      </w:r>
      <w:hyperlink r:id="rId48" w:tooltip="Link to U.S. Code added by Jureeka.org" w:history="1">
        <w:r w:rsidRPr="009710AF">
          <w:rPr>
            <w:rStyle w:val="Hyperlink"/>
            <w:color w:val="000000"/>
            <w:u w:val="single"/>
          </w:rPr>
          <w:t>28 U.S.C. § 1332</w:t>
        </w:r>
      </w:hyperlink>
      <w:r w:rsidRPr="009710AF">
        <w:t>(a)(1), </w:t>
      </w:r>
      <w:r w:rsidRPr="009710AF">
        <w:rPr>
          <w:u w:val="single"/>
        </w:rPr>
        <w:t>grants original jurisdiction to U.S. district courts over cases between citizens of different states when the matter in controversy exceeds $75,000</w:t>
      </w:r>
      <w:r w:rsidRPr="009710AF">
        <w:t>.</w:t>
      </w:r>
      <w:hyperlink r:id="rId49" w:anchor="1" w:history="1">
        <w:r w:rsidRPr="009710AF">
          <w:rPr>
            <w:rStyle w:val="Hyperlink"/>
            <w:color w:val="000000"/>
            <w:u w:val="none"/>
          </w:rPr>
          <w:t>/1/</w:t>
        </w:r>
        <w:r w:rsidRPr="009710AF">
          <w:rPr>
            <w:rStyle w:val="apple-converted-space"/>
          </w:rPr>
          <w:t> </w:t>
        </w:r>
      </w:hyperlink>
      <w:r w:rsidRPr="009710AF">
        <w:rPr>
          <w:u w:val="single"/>
        </w:rPr>
        <w:t>Federal jurisdiction based on diversity of citizenship requires “complete diversity.” All plaintiffs must be citizens of states different from the state of citizenship of any defendant.</w:t>
      </w:r>
      <w:hyperlink r:id="rId50" w:anchor="2" w:history="1">
        <w:r w:rsidRPr="009710AF">
          <w:rPr>
            <w:rStyle w:val="Hyperlink"/>
            <w:color w:val="000000"/>
            <w:u w:val="none"/>
          </w:rPr>
          <w:t>/2/</w:t>
        </w:r>
      </w:hyperlink>
      <w:r w:rsidRPr="003B2A36">
        <w:t> </w:t>
      </w:r>
      <w:r w:rsidRPr="009710AF">
        <w:rPr>
          <w:u w:val="single"/>
        </w:rPr>
        <w:t>If there is any overlap of state citizenship between any plaintiff and any defendant, diversity is defeated and the case cannot be brought in, or removed to, federal court unless there is an independent basis for federal jurisdiction.</w:t>
      </w:r>
    </w:p>
    <w:p w14:paraId="7B4D6779" w14:textId="63878630" w:rsidR="00A968F1" w:rsidRDefault="00A968F1" w:rsidP="00A968F1">
      <w:pPr>
        <w:pStyle w:val="Contention2"/>
      </w:pPr>
      <w:bookmarkStart w:id="80" w:name="_Toc304930390"/>
      <w:bookmarkStart w:id="81" w:name="_Toc304984166"/>
      <w:r>
        <w:t>Congress has done nothing to limit diversity jurisdiction to alleviate caseload pressures</w:t>
      </w:r>
      <w:bookmarkEnd w:id="80"/>
      <w:bookmarkEnd w:id="81"/>
    </w:p>
    <w:p w14:paraId="71658D6C" w14:textId="64662F43" w:rsidR="00A968F1" w:rsidRPr="00A968F1" w:rsidRDefault="00A968F1" w:rsidP="00A968F1">
      <w:pPr>
        <w:pStyle w:val="Citation3"/>
      </w:pPr>
      <w:r w:rsidRPr="00AD61DF">
        <w:rPr>
          <w:u w:val="single"/>
        </w:rPr>
        <w:t>Prof. David R. Cleveland 2013</w:t>
      </w:r>
      <w:r w:rsidRPr="00A968F1">
        <w:t xml:space="preserve"> (Associate Professor of Law, Valparaiso University Law Center) CLEVELAND STATE LAW REVIEW “POST-CRISIS RECONSIDERATION OF FEDERAL COURT REFORM” </w:t>
      </w:r>
      <w:hyperlink r:id="rId51" w:history="1">
        <w:r w:rsidR="003B2A36" w:rsidRPr="003B2A36">
          <w:rPr>
            <w:rStyle w:val="Hyperlink"/>
          </w:rPr>
          <w:t>http://engagedscholarship.csuohio.edu/cgi/viewcontent.cgi?article=1397&amp;context=clevstl rev</w:t>
        </w:r>
      </w:hyperlink>
      <w:r w:rsidR="003B2A36">
        <w:t xml:space="preserve"> </w:t>
      </w:r>
      <w:r>
        <w:t>(parentheses in original)</w:t>
      </w:r>
      <w:r w:rsidR="003B2A36">
        <w:t xml:space="preserve"> </w:t>
      </w:r>
    </w:p>
    <w:p w14:paraId="5FEF52EE" w14:textId="77777777" w:rsidR="00A968F1" w:rsidRDefault="00A968F1" w:rsidP="00A968F1">
      <w:pPr>
        <w:pStyle w:val="Evidence"/>
      </w:pPr>
      <w:r w:rsidRPr="008167A1">
        <w:t>(The growth in diversity jurisdiction of the lower federal courts and the creation of federal question jurisdiction of the district courts through the Act of 1875 exacerbated the caseload problem.). Although Congress is aware of the pressures that the caseload explosion has placed on the federal courts of appeals, it has done nothing to limit their jurisdiction in order to alleviate some of those pressures.</w:t>
      </w:r>
    </w:p>
    <w:p w14:paraId="0BF6826C" w14:textId="686F80AE" w:rsidR="003548DB" w:rsidRDefault="003548DB" w:rsidP="003548DB">
      <w:pPr>
        <w:pStyle w:val="Contention2"/>
      </w:pPr>
      <w:bookmarkStart w:id="82" w:name="_Toc304930391"/>
      <w:bookmarkStart w:id="83" w:name="_Toc304984167"/>
      <w:r>
        <w:t>Dollar limitation on federal diversity jurisdiction isn’t effectively limiting the caseload any more</w:t>
      </w:r>
      <w:bookmarkEnd w:id="82"/>
      <w:bookmarkEnd w:id="83"/>
    </w:p>
    <w:p w14:paraId="71488021" w14:textId="7CDE8092" w:rsidR="003548DB" w:rsidRPr="005712BF" w:rsidRDefault="003548DB" w:rsidP="005712BF">
      <w:pPr>
        <w:pStyle w:val="Citation3"/>
      </w:pPr>
      <w:r w:rsidRPr="005712BF">
        <w:rPr>
          <w:u w:val="single"/>
        </w:rPr>
        <w:t>Nima Mohebbi,</w:t>
      </w:r>
      <w:r w:rsidR="005712BF" w:rsidRPr="005712BF">
        <w:rPr>
          <w:u w:val="single"/>
        </w:rPr>
        <w:t xml:space="preserve"> </w:t>
      </w:r>
      <w:r w:rsidRPr="005712BF">
        <w:rPr>
          <w:u w:val="single"/>
        </w:rPr>
        <w:t>Craig Reiser, and Samuel Greenberg 2013</w:t>
      </w:r>
      <w:r w:rsidRPr="005712BF">
        <w:t xml:space="preserve"> (</w:t>
      </w:r>
      <w:r w:rsidR="005712BF" w:rsidRPr="005712BF">
        <w:t>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w:t>
      </w:r>
      <w:r w:rsidRPr="005712BF">
        <w:t xml:space="preserve"> ) A Dynamic Formula for the Amount in Controversy, FEDERAL COURTS LAW REVIEW  </w:t>
      </w:r>
      <w:hyperlink r:id="rId52" w:history="1">
        <w:r w:rsidR="003B2A36" w:rsidRPr="0092046C">
          <w:rPr>
            <w:rStyle w:val="Hyperlink"/>
          </w:rPr>
          <w:t>http://www.fclr.org/fclr/articles/html/2010/dynamic.pdf</w:t>
        </w:r>
      </w:hyperlink>
      <w:r w:rsidR="003B2A36">
        <w:t xml:space="preserve"> </w:t>
      </w:r>
    </w:p>
    <w:p w14:paraId="1C6168C9" w14:textId="5B373DBE" w:rsidR="003548DB" w:rsidRDefault="003548DB" w:rsidP="003548DB">
      <w:pPr>
        <w:pStyle w:val="Evidence"/>
      </w:pPr>
      <w:r w:rsidRPr="003548DB">
        <w:rPr>
          <w:u w:val="single"/>
        </w:rPr>
        <w:t>When enacted in 1997, that amount-in-controversy limitation on Article III’s grant of diversity jurisdiction perhaps served Congress’s apparent purpose of inhibiting the number of diversity cases. Today, however, it is a hurdle that is easy to plead past that does little to fulfill its function of keeping insubstantial cases in other forums. Congressional inaction is the culprit: the amount in controversy, though an important procedural tool that protects the federal courts from cases that ought to be elsewhere, receives little attention from lawmakers.</w:t>
      </w:r>
      <w:r w:rsidRPr="003548DB">
        <w:t xml:space="preserve"> And even when it does, there is a more systemic problem. Congress, as has been poignantly demonstrated over the past few years, is institutionally slow to change, even when very real problems require immediate attention.</w:t>
      </w:r>
    </w:p>
    <w:p w14:paraId="28A79159" w14:textId="453F7A26" w:rsidR="00C301FB" w:rsidRDefault="00C301FB" w:rsidP="00C301FB">
      <w:pPr>
        <w:pStyle w:val="Contention2"/>
      </w:pPr>
      <w:bookmarkStart w:id="84" w:name="_Toc304930392"/>
      <w:bookmarkStart w:id="85" w:name="_Toc304984168"/>
      <w:r>
        <w:lastRenderedPageBreak/>
        <w:t>Diversity cases are a big part of the rising federal caseload: Over 108,000 diversity cases in 2011</w:t>
      </w:r>
      <w:bookmarkEnd w:id="84"/>
      <w:bookmarkEnd w:id="85"/>
    </w:p>
    <w:p w14:paraId="6A24E81E" w14:textId="18C6CE99" w:rsidR="00C301FB" w:rsidRPr="005712BF" w:rsidRDefault="00C301FB" w:rsidP="00C301FB">
      <w:pPr>
        <w:pStyle w:val="Citation3"/>
      </w:pPr>
      <w:r w:rsidRPr="005712BF">
        <w:rPr>
          <w:u w:val="single"/>
        </w:rPr>
        <w:t>Nima Mohebbi, Craig Reiser, and Samuel Greenberg 2013</w:t>
      </w:r>
      <w:r w:rsidRPr="005712BF">
        <w:t xml:space="preserve"> (Mohebbi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 ) A Dynamic Formula for the Amount in Controversy, FEDERAL COURTS LAW REVIEW  </w:t>
      </w:r>
      <w:hyperlink r:id="rId53" w:history="1">
        <w:r w:rsidR="003B2A36" w:rsidRPr="0092046C">
          <w:rPr>
            <w:rStyle w:val="Hyperlink"/>
          </w:rPr>
          <w:t>http://www.fclr.org/fclr/articles/html/2010/dynamic.pdf</w:t>
        </w:r>
      </w:hyperlink>
      <w:r w:rsidR="003B2A36">
        <w:t xml:space="preserve"> </w:t>
      </w:r>
    </w:p>
    <w:p w14:paraId="3762CE77" w14:textId="32085ED7" w:rsidR="00C301FB" w:rsidRPr="00C301FB" w:rsidRDefault="00C301FB" w:rsidP="00C301FB">
      <w:pPr>
        <w:pStyle w:val="Evidence"/>
      </w:pPr>
      <w:r w:rsidRPr="00C301FB">
        <w:t xml:space="preserve">And, as observed above, that is likely a function of the diversity docket’s ever-increasing burden on the federal judiciary. More specifically, </w:t>
      </w:r>
      <w:r w:rsidRPr="00C301FB">
        <w:rPr>
          <w:u w:val="single"/>
        </w:rPr>
        <w:t>while the civil caseload of the federal district courts has risen at a moderately increased rate over the past ten years, the number of cases filed under the federal diversity statute has increased at a much higher rate</w:t>
      </w:r>
      <w:r w:rsidRPr="00C301FB">
        <w:t xml:space="preserve">.  </w:t>
      </w:r>
      <w:r w:rsidRPr="00C301FB">
        <w:rPr>
          <w:u w:val="single"/>
        </w:rPr>
        <w:t>For example, during the applicable twelve-month period beginning in 2010 (ending in 2011), there were 294,336</w:t>
      </w:r>
      <w:r w:rsidRPr="00C301FB">
        <w:t xml:space="preserve"> </w:t>
      </w:r>
      <w:r w:rsidRPr="00C301FB">
        <w:rPr>
          <w:u w:val="single"/>
        </w:rPr>
        <w:t>total civil actions commenced in the federal district courts</w:t>
      </w:r>
      <w:r w:rsidRPr="00C301FB">
        <w:t xml:space="preserve">, roughly a 4.2% increase from the same period beginning in 2009 (ending in 2010), but </w:t>
      </w:r>
      <w:r w:rsidRPr="00C301FB">
        <w:rPr>
          <w:u w:val="single"/>
        </w:rPr>
        <w:t>only a 15.6% increase from the period beginning in 2000</w:t>
      </w:r>
      <w:r w:rsidRPr="00C301FB">
        <w:t xml:space="preserve"> (ending in 2001). </w:t>
      </w:r>
      <w:r w:rsidRPr="00C301FB">
        <w:rPr>
          <w:u w:val="single"/>
        </w:rPr>
        <w:t>The number of cases filed under the federal diversity statute, by contrast, has increased at a much higher rate</w:t>
      </w:r>
      <w:r w:rsidRPr="00C301FB">
        <w:t xml:space="preserve">: in the period beginning in 2000 (and ending in 2001), only 48,135 private diversity cases were commenced. </w:t>
      </w:r>
      <w:r w:rsidRPr="00C301FB">
        <w:rPr>
          <w:u w:val="single"/>
        </w:rPr>
        <w:t>That number increased to 63,383 in 2005, and 108,072 in 2011</w:t>
      </w:r>
      <w:r w:rsidRPr="00C301FB">
        <w:t>. Thus</w:t>
      </w:r>
      <w:r w:rsidRPr="00C301FB">
        <w:rPr>
          <w:u w:val="single"/>
        </w:rPr>
        <w:t>, without considering the specific fluctuations from the years between 2001 and 2011</w:t>
      </w:r>
      <w:r w:rsidRPr="00C301FB">
        <w:t xml:space="preserve"> (but acknowledging a generally increasing rate), </w:t>
      </w:r>
      <w:r w:rsidRPr="00C301FB">
        <w:rPr>
          <w:u w:val="single"/>
        </w:rPr>
        <w:t>there was a 125% increase in diversity filings in the district courts during that time period</w:t>
      </w:r>
      <w:r w:rsidRPr="00C301FB">
        <w:t>.</w:t>
      </w:r>
    </w:p>
    <w:p w14:paraId="26152399" w14:textId="1009E917" w:rsidR="005922F3" w:rsidRDefault="008167A1" w:rsidP="008167A1">
      <w:pPr>
        <w:pStyle w:val="Contention2"/>
      </w:pPr>
      <w:bookmarkStart w:id="86" w:name="_Toc304930393"/>
      <w:bookmarkStart w:id="87" w:name="_Toc304984169"/>
      <w:r>
        <w:t>Status Quo policies aren’t reducing the federal caseload</w:t>
      </w:r>
      <w:bookmarkEnd w:id="86"/>
      <w:bookmarkEnd w:id="87"/>
    </w:p>
    <w:p w14:paraId="14036EFD" w14:textId="09FDF8F0" w:rsidR="005922F3" w:rsidRPr="008167A1" w:rsidRDefault="008167A1" w:rsidP="008167A1">
      <w:pPr>
        <w:pStyle w:val="Citation3"/>
        <w:rPr>
          <w:rFonts w:ascii="Arial" w:eastAsia="Times New Roman" w:hAnsi="Arial" w:cs="Arial"/>
          <w:color w:val="000000"/>
          <w:sz w:val="57"/>
          <w:szCs w:val="57"/>
        </w:rPr>
      </w:pPr>
      <w:r w:rsidRPr="008167A1">
        <w:rPr>
          <w:u w:val="single"/>
        </w:rPr>
        <w:t>Andrew Adler 2014</w:t>
      </w:r>
      <w:r w:rsidRPr="008167A1">
        <w:t xml:space="preserve"> (attorney with Boies, Schiller &amp; Flexner law firm, Florida; former law clerk to two federal judges on the US Court of Appeals for the 11th Circuit) THE  JOURNAL OF APPELLATE PRACTICE AND PROCESS  Vol. 15, No. 2 (Fall 2014) “Extended Vacancies, Crushing Caseloads, and Emergency Panels in the Federal Courts of Appeals” </w:t>
      </w:r>
      <w:hyperlink r:id="rId54" w:anchor="scribd" w:history="1">
        <w:r w:rsidR="003B2A36" w:rsidRPr="0092046C">
          <w:rPr>
            <w:rStyle w:val="Hyperlink"/>
          </w:rPr>
          <w:t>http://www.scribd.com/doc/270129916/Extended-Vacancies-Crushing-Caseloads-and-Emergency-Panels-in-the-Federal-Courts-of-Appeals#scribd</w:t>
        </w:r>
      </w:hyperlink>
      <w:r w:rsidR="003B2A36">
        <w:t xml:space="preserve"> </w:t>
      </w:r>
    </w:p>
    <w:p w14:paraId="7709EAC1" w14:textId="622C473C" w:rsidR="008167A1" w:rsidRPr="00A968F1" w:rsidRDefault="008167A1" w:rsidP="008167A1">
      <w:pPr>
        <w:pStyle w:val="Evidence"/>
        <w:rPr>
          <w:lang w:eastAsia="en-US"/>
        </w:rPr>
      </w:pPr>
      <w:r w:rsidRPr="008167A1">
        <w:rPr>
          <w:noProof/>
          <w:lang w:eastAsia="en-US"/>
        </w:rPr>
        <w:drawing>
          <wp:inline distT="0" distB="0" distL="0" distR="0" wp14:anchorId="28090C4E" wp14:editId="22448927">
            <wp:extent cx="3609975" cy="2209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extLst>
                        <a:ext uri="{BEBA8EAE-BF5A-486C-A8C5-ECC9F3942E4B}">
                          <a14:imgProps xmlns:a14="http://schemas.microsoft.com/office/drawing/2010/main">
                            <a14:imgLayer r:embed="rId56">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3609975" cy="2209800"/>
                    </a:xfrm>
                    <a:prstGeom prst="rect">
                      <a:avLst/>
                    </a:prstGeom>
                    <a:noFill/>
                    <a:ln>
                      <a:noFill/>
                    </a:ln>
                  </pic:spPr>
                </pic:pic>
              </a:graphicData>
            </a:graphic>
          </wp:inline>
        </w:drawing>
      </w:r>
    </w:p>
    <w:p w14:paraId="12C5B7A2" w14:textId="082B00F5" w:rsidR="00586838" w:rsidRDefault="00641940" w:rsidP="00586838">
      <w:pPr>
        <w:pStyle w:val="Contention2"/>
      </w:pPr>
      <w:bookmarkStart w:id="88" w:name="_Toc304930394"/>
      <w:bookmarkStart w:id="89" w:name="_Toc304984170"/>
      <w:r>
        <w:t xml:space="preserve">“Fill judicial vacancies to solve” – Response:  Vacancies </w:t>
      </w:r>
      <w:r w:rsidR="000C5E36">
        <w:t>aren’t the problem, vacancy rate is &lt;5%</w:t>
      </w:r>
      <w:bookmarkEnd w:id="88"/>
      <w:bookmarkEnd w:id="89"/>
    </w:p>
    <w:p w14:paraId="49D9E1EB" w14:textId="4DF79C76" w:rsidR="00641940" w:rsidRPr="00641940" w:rsidRDefault="00641940" w:rsidP="00641940">
      <w:pPr>
        <w:pStyle w:val="Citation3"/>
      </w:pPr>
      <w:r w:rsidRPr="00641940">
        <w:rPr>
          <w:u w:val="single"/>
        </w:rPr>
        <w:t>American Bar Association 2015</w:t>
      </w:r>
      <w:r w:rsidRPr="00641940">
        <w:t xml:space="preserve"> “Judicial Vacancies” </w:t>
      </w:r>
      <w:hyperlink r:id="rId57" w:history="1">
        <w:r w:rsidR="003B2A36" w:rsidRPr="0092046C">
          <w:rPr>
            <w:rStyle w:val="Hyperlink"/>
          </w:rPr>
          <w:t>https://www.americanbar.org/advocacy/governmental_legislative_work/priorities_policy/independence_of_the_judiciary/judicial_vacancies.html</w:t>
        </w:r>
      </w:hyperlink>
      <w:r w:rsidR="003B2A36">
        <w:t xml:space="preserve"> </w:t>
      </w:r>
    </w:p>
    <w:p w14:paraId="318130DB" w14:textId="443C0E96" w:rsidR="00641940" w:rsidRPr="00641940" w:rsidRDefault="00641940" w:rsidP="00641940">
      <w:pPr>
        <w:pStyle w:val="Evidence"/>
      </w:pPr>
      <w:r w:rsidRPr="00641940">
        <w:rPr>
          <w:u w:val="single"/>
        </w:rPr>
        <w:t>Halfway through the 113</w:t>
      </w:r>
      <w:r w:rsidRPr="00641940">
        <w:rPr>
          <w:u w:val="single"/>
          <w:vertAlign w:val="superscript"/>
        </w:rPr>
        <w:t>th</w:t>
      </w:r>
      <w:r w:rsidRPr="00641940">
        <w:rPr>
          <w:u w:val="single"/>
        </w:rPr>
        <w:t> Congress, then-Majority Leader Harry Reid invoked the “nuclear option” to change the Senate Rules regarding filibusters by simple majority vote</w:t>
      </w:r>
      <w:r w:rsidRPr="00641940">
        <w:t xml:space="preserve"> rather than the normally required supermajority of 67 votes. The rule change gutted the threat of the filibuster by lowering the threshold for cloture on all executive branch and judicial nominees except for Supreme Court nominees from 60 votes to a simple majority. The change to the filibuster rule set the stage for a dramatic reduction in the number of vacancies by the end of the Congress. </w:t>
      </w:r>
      <w:r w:rsidRPr="00641940">
        <w:rPr>
          <w:u w:val="single"/>
        </w:rPr>
        <w:t>During the 113</w:t>
      </w:r>
      <w:r w:rsidRPr="00641940">
        <w:rPr>
          <w:u w:val="single"/>
          <w:vertAlign w:val="superscript"/>
        </w:rPr>
        <w:t>th</w:t>
      </w:r>
      <w:r w:rsidRPr="00641940">
        <w:rPr>
          <w:u w:val="single"/>
        </w:rPr>
        <w:t> Congress, President Obama made 152 nominations and the Senate confirmed 134 judges, two-thirds of whom were confirmed during the 2</w:t>
      </w:r>
      <w:r w:rsidRPr="00641940">
        <w:rPr>
          <w:u w:val="single"/>
          <w:vertAlign w:val="superscript"/>
        </w:rPr>
        <w:t>nd</w:t>
      </w:r>
      <w:r w:rsidRPr="00641940">
        <w:rPr>
          <w:u w:val="single"/>
        </w:rPr>
        <w:t> Session. The 2</w:t>
      </w:r>
      <w:r w:rsidRPr="00641940">
        <w:rPr>
          <w:u w:val="single"/>
          <w:vertAlign w:val="superscript"/>
        </w:rPr>
        <w:t>nd</w:t>
      </w:r>
      <w:r w:rsidRPr="00641940">
        <w:rPr>
          <w:u w:val="single"/>
        </w:rPr>
        <w:t> Session of the 113</w:t>
      </w:r>
      <w:r w:rsidRPr="00641940">
        <w:rPr>
          <w:u w:val="single"/>
          <w:vertAlign w:val="superscript"/>
        </w:rPr>
        <w:t>th</w:t>
      </w:r>
      <w:r w:rsidRPr="00641940">
        <w:rPr>
          <w:u w:val="single"/>
        </w:rPr>
        <w:t>Congress started with 92 vacancies and adjourned with 41, reducing the vacancy rate to less than 5%.</w:t>
      </w:r>
    </w:p>
    <w:p w14:paraId="1A6EE3A2" w14:textId="3E2271E6" w:rsidR="00646838" w:rsidRDefault="00306B79" w:rsidP="0075587A">
      <w:pPr>
        <w:pStyle w:val="Contention1"/>
      </w:pPr>
      <w:bookmarkStart w:id="90" w:name="_Toc304930395"/>
      <w:bookmarkStart w:id="91" w:name="_Toc304984171"/>
      <w:r>
        <w:lastRenderedPageBreak/>
        <w:t>ADVOCACY</w:t>
      </w:r>
      <w:r w:rsidR="00E9344B">
        <w:t xml:space="preserve"> / ADVANTAGES</w:t>
      </w:r>
      <w:bookmarkEnd w:id="90"/>
      <w:bookmarkEnd w:id="91"/>
    </w:p>
    <w:p w14:paraId="536E385D" w14:textId="25878797" w:rsidR="003C4DC5" w:rsidRDefault="003C4DC5" w:rsidP="003C4DC5">
      <w:pPr>
        <w:pStyle w:val="Contention2"/>
      </w:pPr>
      <w:bookmarkStart w:id="92" w:name="_Toc304930396"/>
      <w:bookmarkStart w:id="93" w:name="_Toc304984172"/>
      <w:r>
        <w:t>Lots of experts over the last 100 years have advocated abolishing diversity jurisdiction</w:t>
      </w:r>
      <w:bookmarkEnd w:id="92"/>
      <w:bookmarkEnd w:id="93"/>
    </w:p>
    <w:p w14:paraId="5B696F37" w14:textId="69BE1909" w:rsidR="003C4DC5" w:rsidRPr="000C5E36" w:rsidRDefault="003C4DC5" w:rsidP="003C4DC5">
      <w:pPr>
        <w:pStyle w:val="Citation3"/>
        <w:rPr>
          <w:lang w:val="fr-FR"/>
        </w:rPr>
      </w:pPr>
      <w:r w:rsidRPr="003C4DC5">
        <w:rPr>
          <w:u w:val="single"/>
        </w:rPr>
        <w:t>Victor Eugene Flango 1990</w:t>
      </w:r>
      <w:r w:rsidRPr="003C4DC5">
        <w:t xml:space="preserve"> (Executive Director, Program Resource Development, National Center for State Courts) How would the abolition of federal diversity jurisdiction affect state courts?  </w:t>
      </w:r>
      <w:r w:rsidRPr="000C5E36">
        <w:rPr>
          <w:lang w:val="fr-FR"/>
        </w:rPr>
        <w:t xml:space="preserve">74 Judicature 35 (1990-1991) </w:t>
      </w:r>
      <w:hyperlink r:id="rId58" w:history="1">
        <w:r w:rsidR="003B2A36" w:rsidRPr="0092046C">
          <w:rPr>
            <w:rStyle w:val="Hyperlink"/>
            <w:lang w:val="fr-FR"/>
          </w:rPr>
          <w:t>http://heinonline.org/HOL/LandingPage?handle=hein.journals/judica74&amp;div=11&amp;id=&amp;page</w:t>
        </w:r>
      </w:hyperlink>
      <w:r w:rsidRPr="000C5E36">
        <w:rPr>
          <w:lang w:val="fr-FR"/>
        </w:rPr>
        <w:t>=</w:t>
      </w:r>
      <w:r w:rsidR="003B2A36">
        <w:rPr>
          <w:lang w:val="fr-FR"/>
        </w:rPr>
        <w:t xml:space="preserve"> </w:t>
      </w:r>
    </w:p>
    <w:p w14:paraId="4FA8D49A" w14:textId="04BFC8E8" w:rsidR="003C4DC5" w:rsidRDefault="003C4DC5" w:rsidP="003C4DC5">
      <w:pPr>
        <w:pStyle w:val="Evidence"/>
      </w:pPr>
      <w:r>
        <w:rPr>
          <w:noProof/>
          <w:lang w:eastAsia="en-US"/>
        </w:rPr>
        <w:drawing>
          <wp:inline distT="0" distB="0" distL="0" distR="0" wp14:anchorId="5AA6D9D4" wp14:editId="15278966">
            <wp:extent cx="2314575" cy="5648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a:extLst>
                        <a:ext uri="{BEBA8EAE-BF5A-486C-A8C5-ECC9F3942E4B}">
                          <a14:imgProps xmlns:a14="http://schemas.microsoft.com/office/drawing/2010/main">
                            <a14:imgLayer r:embed="rId60">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2314575" cy="5648325"/>
                    </a:xfrm>
                    <a:prstGeom prst="rect">
                      <a:avLst/>
                    </a:prstGeom>
                    <a:noFill/>
                    <a:ln>
                      <a:noFill/>
                    </a:ln>
                  </pic:spPr>
                </pic:pic>
              </a:graphicData>
            </a:graphic>
          </wp:inline>
        </w:drawing>
      </w:r>
    </w:p>
    <w:p w14:paraId="24067708" w14:textId="39822B64" w:rsidR="00D93C4D" w:rsidRDefault="00D93C4D" w:rsidP="00D93C4D">
      <w:pPr>
        <w:pStyle w:val="Contention2"/>
      </w:pPr>
      <w:bookmarkStart w:id="94" w:name="_Toc304930397"/>
      <w:bookmarkStart w:id="95" w:name="_Toc304984173"/>
      <w:r>
        <w:lastRenderedPageBreak/>
        <w:t>Widespread advocacy for abolishing diversity jurisdiction:  Would reduce caseloads and put the cases back in State courts where they belong</w:t>
      </w:r>
      <w:bookmarkEnd w:id="94"/>
      <w:bookmarkEnd w:id="95"/>
    </w:p>
    <w:p w14:paraId="7527A105" w14:textId="3DFF2985" w:rsidR="00D93C4D" w:rsidRPr="00D93C4D" w:rsidRDefault="00D93C4D" w:rsidP="00D93C4D">
      <w:pPr>
        <w:pStyle w:val="Citation3"/>
      </w:pPr>
      <w:r w:rsidRPr="00D93C4D">
        <w:rPr>
          <w:u w:val="single"/>
        </w:rPr>
        <w:t>David Neubauer &amp; Dr. Henry Fradella 2012</w:t>
      </w:r>
      <w:r w:rsidRPr="00D93C4D">
        <w:t xml:space="preserve"> (Neubauer – PhD; former chair of the Dept of Political Science at Univ. of New Orleans. Fradella – PhD; Professor of Law, Criminology, Criminal Justice, and Forensic Studies</w:t>
      </w:r>
      <w:r w:rsidRPr="003B2A36">
        <w:t> </w:t>
      </w:r>
      <w:r w:rsidRPr="00D93C4D">
        <w:br/>
        <w:t xml:space="preserve">Director, School of Criminology, Criminal Justice, and Emergency Management at Calif. State Univ.-Long Beach) America’s Courts and the Criminal Justice System, 11th edition </w:t>
      </w:r>
      <w:hyperlink r:id="rId61" w:anchor="v=onepage&amp;q=%22diversity%20jurisdiction%22%20caseload%20federal&amp;f=false" w:history="1">
        <w:r w:rsidR="003B2A36" w:rsidRPr="0092046C">
          <w:rPr>
            <w:rStyle w:val="Hyperlink"/>
          </w:rPr>
          <w:t>https://books.google.fr/books?id=CD3TCQAAQBAJ&amp;pg=PA67&amp;lpg=PA67&amp;dq=%22diversity+jurisdiction%22+caseload+federal&amp;source=bl&amp;ots=lr_dHhWTVM&amp;sig=lHFEEARnSsJ4AcUu8TNQHsPw9Ug&amp;hl=fr&amp;sa=X&amp;ved=0CCkQ6AEwATgKahUKEwjm0Judj-TGAhWLXRQKHa_XD8M#v=onepage&amp;q=%22diversity%20jurisdiction%22%20caseload%20federal&amp;f=false</w:t>
        </w:r>
      </w:hyperlink>
      <w:r w:rsidR="003B2A36">
        <w:t xml:space="preserve"> </w:t>
      </w:r>
    </w:p>
    <w:p w14:paraId="27113730" w14:textId="4A66907D" w:rsidR="00D93C4D" w:rsidRDefault="00D93C4D" w:rsidP="00D93C4D">
      <w:pPr>
        <w:pStyle w:val="Evidence"/>
      </w:pPr>
      <w:r>
        <w:rPr>
          <w:noProof/>
          <w:lang w:eastAsia="en-US"/>
        </w:rPr>
        <w:drawing>
          <wp:inline distT="0" distB="0" distL="0" distR="0" wp14:anchorId="79601643" wp14:editId="6D3B9049">
            <wp:extent cx="2680335" cy="1912620"/>
            <wp:effectExtent l="0" t="0" r="1206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2">
                      <a:extLst>
                        <a:ext uri="{BEBA8EAE-BF5A-486C-A8C5-ECC9F3942E4B}">
                          <a14:imgProps xmlns:a14="http://schemas.microsoft.com/office/drawing/2010/main">
                            <a14:imgLayer r:embed="rId63">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2680335" cy="1912620"/>
                    </a:xfrm>
                    <a:prstGeom prst="rect">
                      <a:avLst/>
                    </a:prstGeom>
                    <a:noFill/>
                    <a:ln>
                      <a:noFill/>
                    </a:ln>
                  </pic:spPr>
                </pic:pic>
              </a:graphicData>
            </a:graphic>
          </wp:inline>
        </w:drawing>
      </w:r>
    </w:p>
    <w:p w14:paraId="550209CA" w14:textId="1A27D5EF" w:rsidR="001360F1" w:rsidRDefault="001360F1" w:rsidP="001360F1">
      <w:pPr>
        <w:pStyle w:val="Contention2"/>
      </w:pPr>
      <w:bookmarkStart w:id="96" w:name="_Toc304930398"/>
      <w:bookmarkStart w:id="97" w:name="_Toc304984174"/>
      <w:r>
        <w:t>The original reasons for diversity jurisdiction have disappeared: Now it’s just an unnecessary distraction for federal courts</w:t>
      </w:r>
      <w:bookmarkEnd w:id="96"/>
      <w:bookmarkEnd w:id="97"/>
    </w:p>
    <w:p w14:paraId="1874ACC5" w14:textId="703E7D55" w:rsidR="001360F1" w:rsidRPr="005712BF" w:rsidRDefault="001360F1" w:rsidP="001360F1">
      <w:pPr>
        <w:pStyle w:val="Citation3"/>
      </w:pPr>
      <w:r w:rsidRPr="005712BF">
        <w:rPr>
          <w:u w:val="single"/>
        </w:rPr>
        <w:t>Nima Mohebbi, Craig Reiser, and Samuel Greenberg 2013</w:t>
      </w:r>
      <w:r w:rsidRPr="005712BF">
        <w:t xml:space="preserve"> (Mohebbi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 ) A Dynamic Formula for the Amount in Controversy, FEDERAL COURTS LAW REVIEW  </w:t>
      </w:r>
      <w:hyperlink r:id="rId64" w:history="1">
        <w:r w:rsidR="003B2A36" w:rsidRPr="0092046C">
          <w:rPr>
            <w:rStyle w:val="Hyperlink"/>
          </w:rPr>
          <w:t>http://www.fclr.org/fclr/articles/html/2010/dynamic.pdf</w:t>
        </w:r>
      </w:hyperlink>
      <w:r w:rsidR="003B2A36">
        <w:t xml:space="preserve"> </w:t>
      </w:r>
    </w:p>
    <w:p w14:paraId="136DCFC0" w14:textId="48E96FF3" w:rsidR="00231425" w:rsidRPr="001360F1" w:rsidRDefault="001360F1" w:rsidP="001360F1">
      <w:pPr>
        <w:pStyle w:val="Evidence"/>
      </w:pPr>
      <w:r w:rsidRPr="001360F1">
        <w:t>The notion that state court judges and juries would be more inclined to abandon their duties of impartiality in cases involving non-local citizens was arguably a justifiable one at the time. The same, of course, can no longer be said with any real certainty, and it is therefore unsurprising that many have questioned the continued vitality of the policy justifications that underlay Article III’s grant of diversity jurisdiction. Indeed, since the founding, the traditional arguments in favor of diversity jurisdiction have been less frequently advanced. Many commentators have focused their recent scholarship on proposing useful mechanisms to reduce the caseload of the federal courts, or otherwise efficiently allocate cases between federal and state court systems.  The reason for that shift in thinking seems clear enough; as one commentator aptly observed, “many judges and practitioners . . . view diversity jurisdiction as an anomaly” that serves “as an unnecessary distraction from the federal courts’ primary functions.”</w:t>
      </w:r>
    </w:p>
    <w:p w14:paraId="09CBA559" w14:textId="3A86CCBE" w:rsidR="00231425" w:rsidRDefault="00231425" w:rsidP="00231425">
      <w:pPr>
        <w:pStyle w:val="Contention2"/>
      </w:pPr>
      <w:bookmarkStart w:id="98" w:name="_Toc304930399"/>
      <w:bookmarkStart w:id="99" w:name="_Toc304984175"/>
      <w:r>
        <w:lastRenderedPageBreak/>
        <w:t>Diversity cases would be better handled in State courts, since they’re not dealing with federal law</w:t>
      </w:r>
      <w:bookmarkEnd w:id="98"/>
      <w:bookmarkEnd w:id="99"/>
    </w:p>
    <w:p w14:paraId="67350713" w14:textId="3229B8FD" w:rsidR="00231425" w:rsidRPr="005712BF" w:rsidRDefault="00231425" w:rsidP="00231425">
      <w:pPr>
        <w:pStyle w:val="Citation3"/>
      </w:pPr>
      <w:r w:rsidRPr="005712BF">
        <w:rPr>
          <w:u w:val="single"/>
        </w:rPr>
        <w:t>Nima Mohebbi, Craig Reiser, and Samuel Greenberg 2013</w:t>
      </w:r>
      <w:r w:rsidRPr="005712BF">
        <w:t xml:space="preserve"> (Mohebbi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 ) A Dynamic Formula for the Amount in Controversy, FEDERAL COURTS LAW REVIEW  </w:t>
      </w:r>
      <w:hyperlink r:id="rId65" w:history="1">
        <w:r w:rsidR="003B2A36" w:rsidRPr="0092046C">
          <w:rPr>
            <w:rStyle w:val="Hyperlink"/>
          </w:rPr>
          <w:t>http://www.fclr.org/fclr/articles/html/2010/dynamic.pdf</w:t>
        </w:r>
      </w:hyperlink>
      <w:r w:rsidR="003B2A36">
        <w:t xml:space="preserve"> </w:t>
      </w:r>
    </w:p>
    <w:p w14:paraId="170128EB" w14:textId="10077978" w:rsidR="00231425" w:rsidRDefault="00231425" w:rsidP="00231425">
      <w:pPr>
        <w:pStyle w:val="Evidence"/>
      </w:pPr>
      <w:r w:rsidRPr="00231425">
        <w:t>A great deal of the remaining forty percent of the cases and controversies federal courts routinely manage implicate Article III’s defined category of “diversity and alienage” jurisdiction over “controversies” involving disputes between citizens of different states. Given the lack of any necessary nexus to federal law or federal courts, many of the cases filed based on that jurisdiction involve issues of state law, sometimes novel, which are arguably better directed to a state tribunal.</w:t>
      </w:r>
    </w:p>
    <w:p w14:paraId="38447B2B" w14:textId="0DD87865" w:rsidR="00CA183E" w:rsidRDefault="00CA183E" w:rsidP="00CA183E">
      <w:pPr>
        <w:pStyle w:val="Contention2"/>
      </w:pPr>
      <w:bookmarkStart w:id="100" w:name="_Toc304930400"/>
      <w:bookmarkStart w:id="101" w:name="_Toc304984176"/>
      <w:r>
        <w:t>Reducing diversity cases would reduce an exceptionally large portion of the federal caseload</w:t>
      </w:r>
      <w:bookmarkEnd w:id="100"/>
      <w:bookmarkEnd w:id="101"/>
    </w:p>
    <w:p w14:paraId="65F66318" w14:textId="6B9C9E05" w:rsidR="00CA183E" w:rsidRPr="005712BF" w:rsidRDefault="00CA183E" w:rsidP="00CA183E">
      <w:pPr>
        <w:pStyle w:val="Citation3"/>
      </w:pPr>
      <w:r w:rsidRPr="005712BF">
        <w:rPr>
          <w:u w:val="single"/>
        </w:rPr>
        <w:t>Nima Mohebbi, Craig Reiser, and Samuel Greenberg 2013</w:t>
      </w:r>
      <w:r w:rsidRPr="005712BF">
        <w:t xml:space="preserve"> (Mohebbi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 ) A Dynamic Formula for the Amount in Controversy, FEDERAL COURTS LAW REVIEW  </w:t>
      </w:r>
      <w:hyperlink r:id="rId66" w:history="1">
        <w:r w:rsidRPr="00693D3B">
          <w:rPr>
            <w:rStyle w:val="Hyperlink"/>
          </w:rPr>
          <w:t>http://www.fclr.org/fclr/articles/html/2010/dynamic.pdf</w:t>
        </w:r>
      </w:hyperlink>
      <w:r>
        <w:t xml:space="preserve"> (brackets in original)</w:t>
      </w:r>
    </w:p>
    <w:p w14:paraId="7F8DDAA2" w14:textId="0FDE96B3" w:rsidR="00CA183E" w:rsidRDefault="00CA183E" w:rsidP="00CA183E">
      <w:pPr>
        <w:pStyle w:val="Evidence"/>
      </w:pPr>
      <w:r w:rsidRPr="00CA183E">
        <w:t>While “[t]he original Congressional intent behind the amount-in-controversy requirement is not entirely clear from legislative history,”</w:t>
      </w:r>
      <w:r>
        <w:t xml:space="preserve"> </w:t>
      </w:r>
      <w:r w:rsidRPr="00CA183E">
        <w:t xml:space="preserve"> the modern view is that it was implemented to serve a gatekeeping role that alleviates the burden diversity jurisdiction causes to the federal docket.</w:t>
      </w:r>
      <w:r>
        <w:t xml:space="preserve"> </w:t>
      </w:r>
      <w:r w:rsidRPr="00CA183E">
        <w:t xml:space="preserve"> And, indeed, it does, though one may well question its utility in serving that end given the seemingly arbitrary manner in which it has been periodically adjusted over the years.  The growth of the diversity docket is illustrative; as the</w:t>
      </w:r>
      <w:r>
        <w:t xml:space="preserve"> statistics clearly demonstrate,</w:t>
      </w:r>
      <w:r w:rsidRPr="00CA183E">
        <w:t xml:space="preserve">  the diversity docket continues to comprise an exceptionally large portion of the caseload of the federal courts.</w:t>
      </w:r>
    </w:p>
    <w:p w14:paraId="29F51F12" w14:textId="12E9657D" w:rsidR="00E9344B" w:rsidRDefault="00543ACF" w:rsidP="00E9344B">
      <w:pPr>
        <w:pStyle w:val="Contention2"/>
      </w:pPr>
      <w:bookmarkStart w:id="102" w:name="_Toc304930401"/>
      <w:bookmarkStart w:id="103" w:name="_Toc304984177"/>
      <w:r>
        <w:t>Diversity c</w:t>
      </w:r>
      <w:r w:rsidR="00E9344B">
        <w:t>ases should be in State court, not federal:  States are better at judging their own laws</w:t>
      </w:r>
      <w:bookmarkEnd w:id="102"/>
      <w:bookmarkEnd w:id="103"/>
    </w:p>
    <w:p w14:paraId="0DC7181F" w14:textId="56085A7B" w:rsidR="00E9344B" w:rsidRPr="005712BF" w:rsidRDefault="00E9344B" w:rsidP="00E9344B">
      <w:pPr>
        <w:pStyle w:val="Citation3"/>
      </w:pPr>
      <w:r w:rsidRPr="005712BF">
        <w:rPr>
          <w:u w:val="single"/>
        </w:rPr>
        <w:t>Nima Mohebbi, Craig Reiser, and Samuel Greenberg 2013</w:t>
      </w:r>
      <w:r w:rsidRPr="005712BF">
        <w:t xml:space="preserve"> (Mohebbi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 ) A Dynamic Formula for the Amount in Controversy, FEDERAL COURTS LAW REVIEW  </w:t>
      </w:r>
      <w:hyperlink r:id="rId67" w:history="1">
        <w:r w:rsidR="003B2A36" w:rsidRPr="0092046C">
          <w:rPr>
            <w:rStyle w:val="Hyperlink"/>
          </w:rPr>
          <w:t>http://www.fclr.org/fclr/articles/html/2010/dynamic.pdf</w:t>
        </w:r>
      </w:hyperlink>
      <w:r w:rsidR="003B2A36">
        <w:t xml:space="preserve"> </w:t>
      </w:r>
    </w:p>
    <w:p w14:paraId="07CCCEBA" w14:textId="4556AA3E" w:rsidR="00E9344B" w:rsidRDefault="00E9344B" w:rsidP="00E9344B">
      <w:pPr>
        <w:pStyle w:val="Evidence"/>
      </w:pPr>
      <w:r>
        <w:t>The role of the federal courts in adjudicating state-law disputes has been contested since drafting of the Constitution.</w:t>
      </w:r>
      <w:r>
        <w:rPr>
          <w:sz w:val="14"/>
          <w:szCs w:val="14"/>
        </w:rPr>
        <w:t xml:space="preserve"> </w:t>
      </w:r>
      <w:r>
        <w:t xml:space="preserve">What seems clear, however, is that the original justifications for diversity jurisdiction have eroded over time. </w:t>
      </w:r>
      <w:r>
        <w:rPr>
          <w:sz w:val="14"/>
          <w:szCs w:val="14"/>
        </w:rPr>
        <w:t xml:space="preserve"> </w:t>
      </w:r>
      <w:r>
        <w:t>Thus, a system originally created to ensure access to justice has metamorphosed into an implicit jurisdictionally driven subsidy to state judicial systems. Essentially, the federal government is now simply providing means for litigants to compel the federal judiciary to adjudicate matters generally (and more properly) created and reserved for the state courts. Principles of federalism suggest that the federal government should leave more state law disputes to be settled in state law tribunals. State courts are presumably better positioned to interpret their own laws and have the ability to create the binding precedent that our system of justice relies upon.</w:t>
      </w:r>
    </w:p>
    <w:p w14:paraId="5CD28971" w14:textId="5F29C2FC" w:rsidR="003A2B9D" w:rsidRDefault="003A2B9D" w:rsidP="003A2B9D">
      <w:pPr>
        <w:pStyle w:val="Contention2"/>
      </w:pPr>
      <w:bookmarkStart w:id="104" w:name="_Toc304930402"/>
      <w:bookmarkStart w:id="105" w:name="_Toc304984178"/>
      <w:r>
        <w:lastRenderedPageBreak/>
        <w:t>Diversity cases in State courts are better: State courts deciding state law are better than federal courts deciding state law</w:t>
      </w:r>
      <w:bookmarkEnd w:id="104"/>
      <w:bookmarkEnd w:id="105"/>
    </w:p>
    <w:p w14:paraId="48E3B550" w14:textId="50AEBE8D" w:rsidR="003A2B9D" w:rsidRPr="005712BF" w:rsidRDefault="003A2B9D" w:rsidP="003A2B9D">
      <w:pPr>
        <w:pStyle w:val="Citation3"/>
      </w:pPr>
      <w:r w:rsidRPr="005712BF">
        <w:rPr>
          <w:u w:val="single"/>
        </w:rPr>
        <w:t>Nima Mohebbi, Craig Reiser, and Samuel Greenberg 2013</w:t>
      </w:r>
      <w:r w:rsidRPr="005712BF">
        <w:t xml:space="preserve"> (Mohebbi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 ) A Dynamic Formula for the Amount in Controversy, FEDERAL COURTS LAW REVIEW  </w:t>
      </w:r>
      <w:hyperlink r:id="rId68" w:history="1">
        <w:r w:rsidR="003B2A36" w:rsidRPr="0092046C">
          <w:rPr>
            <w:rStyle w:val="Hyperlink"/>
          </w:rPr>
          <w:t>http://www.fclr.org/fclr/articles/html/2010/dynamic.pdf</w:t>
        </w:r>
      </w:hyperlink>
      <w:r w:rsidR="003B2A36">
        <w:t xml:space="preserve"> </w:t>
      </w:r>
    </w:p>
    <w:p w14:paraId="345AB69D" w14:textId="7D6A4B9A" w:rsidR="003A2B9D" w:rsidRDefault="003A2B9D" w:rsidP="003A2B9D">
      <w:pPr>
        <w:pStyle w:val="Evidence"/>
      </w:pPr>
      <w:r w:rsidRPr="003A2B9D">
        <w:t xml:space="preserve">Indeed, </w:t>
      </w:r>
      <w:r w:rsidRPr="00D532E9">
        <w:rPr>
          <w:u w:val="single"/>
        </w:rPr>
        <w:t>differing interpretations on the contours of state law—by federal district courts and courts of appeal—may create tension with state policy initiatives and diminish state supreme courts’ preferential trajectory of the development of state law</w:t>
      </w:r>
      <w:r w:rsidRPr="003A2B9D">
        <w:t xml:space="preserve">.  And the problem is not easily avoided. </w:t>
      </w:r>
      <w:r w:rsidRPr="00D532E9">
        <w:rPr>
          <w:u w:val="single"/>
        </w:rPr>
        <w:t>Federal courts sitting in diversity inevitably (and frequently) must make guesses on open questions of state law where none of the applicable state courts have had occasion to decide the issue.  Worse still are those instances in which divergence on the question exists within the state-court system because the state’s highest court has yet to pass upon it.  In those cases, a federal court must decide which of the competing state court decisions most accurately applies state law</w:t>
      </w:r>
      <w:r w:rsidRPr="003A2B9D">
        <w:t xml:space="preserve"> and its answer can be attractive to litigants. But that solution impedes the definitive development of the question itself because such determinations are not binding on the state courts. So some lower state courts may accept a federal resolution, some may later reject it, and still other questions may skate unresolved for many years thereafter. </w:t>
      </w:r>
      <w:r w:rsidRPr="00D532E9">
        <w:rPr>
          <w:u w:val="single"/>
        </w:rPr>
        <w:t>In the end, the developmental process of the question becomes hampered by the availability of diversity jurisdiction. Reducing the implicit federal subsidy to the states would perhaps be a welcome change because, among other federalism-driven reasons, it would reduce the prevalence of cross-jurisdictional resolution of dispositive questions of state law</w:t>
      </w:r>
      <w:r w:rsidRPr="003A2B9D">
        <w:t>.</w:t>
      </w:r>
    </w:p>
    <w:p w14:paraId="31CA1EA4" w14:textId="3257CCB2" w:rsidR="007716E3" w:rsidRDefault="007716E3" w:rsidP="007716E3">
      <w:pPr>
        <w:pStyle w:val="Contention2"/>
      </w:pPr>
      <w:bookmarkStart w:id="106" w:name="_Toc304930403"/>
      <w:bookmarkStart w:id="107" w:name="_Toc304984179"/>
      <w:r>
        <w:t>Sending diversity cases to State courts would improve State courts by providing incentives for reform and innovation</w:t>
      </w:r>
      <w:bookmarkEnd w:id="106"/>
      <w:bookmarkEnd w:id="107"/>
    </w:p>
    <w:p w14:paraId="079DE431" w14:textId="6880E832" w:rsidR="007716E3" w:rsidRPr="005712BF" w:rsidRDefault="007716E3" w:rsidP="007716E3">
      <w:pPr>
        <w:pStyle w:val="Citation3"/>
      </w:pPr>
      <w:r w:rsidRPr="005712BF">
        <w:rPr>
          <w:u w:val="single"/>
        </w:rPr>
        <w:t>Nima Mohebbi, Craig Reiser, and Samuel Greenberg 2013</w:t>
      </w:r>
      <w:r w:rsidRPr="005712BF">
        <w:t xml:space="preserve"> (Mohebbi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 ) A Dynamic Formula for the Amount in Controversy, FEDERAL COURTS LAW REVIEW  </w:t>
      </w:r>
      <w:hyperlink r:id="rId69" w:history="1">
        <w:r w:rsidR="003B2A36" w:rsidRPr="0092046C">
          <w:rPr>
            <w:rStyle w:val="Hyperlink"/>
          </w:rPr>
          <w:t>http://www.fclr.org/fclr/articles/html/2010/dynamic.pdf</w:t>
        </w:r>
      </w:hyperlink>
      <w:r w:rsidR="003B2A36">
        <w:t xml:space="preserve"> </w:t>
      </w:r>
    </w:p>
    <w:p w14:paraId="32063D9D" w14:textId="13395960" w:rsidR="007716E3" w:rsidRDefault="007716E3" w:rsidP="007716E3">
      <w:pPr>
        <w:pStyle w:val="Evidence"/>
      </w:pPr>
      <w:r w:rsidRPr="007716E3">
        <w:rPr>
          <w:u w:val="single"/>
        </w:rPr>
        <w:t>Expanding small claims jurisdiction, mandatory mediation, limited-jurisdiction and other innovations may be introduced to handle the influx. Further, state and local officials will likely be more responsive to complaints about issues in the judicial system than their counterparts in Washington. One cannot find it hard to picture that local accountability may ultimately improve access to justice and produce better outcomes. “Diversity provides litigants who satisfy its requirement a choice of forums, enabling them to pick the court that is ‘better’ for them in any particular case. As such, its continued existence ‘diminishes the incentives for state court reform.’</w:t>
      </w:r>
      <w:r w:rsidRPr="007716E3">
        <w:t>” Kramer, supra note 45, at 106 (quoting 13B CHARLES ALAN WRIGHT, ARTHUR R. MILLER &amp; EDWARD H. COOPER, FEDERAL PRACTICE AND PROCEDURE §3601, at 354 &amp; n.63 (2d ed. 1984)).</w:t>
      </w:r>
    </w:p>
    <w:p w14:paraId="1B3D2BFC" w14:textId="3EEF3605" w:rsidR="00325A79" w:rsidRDefault="00325A79" w:rsidP="00325A79">
      <w:pPr>
        <w:pStyle w:val="Contention2"/>
      </w:pPr>
      <w:bookmarkStart w:id="108" w:name="_Toc304930404"/>
      <w:bookmarkStart w:id="109" w:name="_Toc304984180"/>
      <w:r>
        <w:lastRenderedPageBreak/>
        <w:t xml:space="preserve">Better decision-making on Federal law:  Removing diversity cases leaves Federal courts more time </w:t>
      </w:r>
      <w:r w:rsidR="00CB11A6">
        <w:t>for</w:t>
      </w:r>
      <w:r>
        <w:t xml:space="preserve"> Federal issues</w:t>
      </w:r>
      <w:bookmarkEnd w:id="108"/>
      <w:bookmarkEnd w:id="109"/>
    </w:p>
    <w:p w14:paraId="035BBEC5" w14:textId="77CA0636" w:rsidR="00325A79" w:rsidRPr="005712BF" w:rsidRDefault="00325A79" w:rsidP="00325A79">
      <w:pPr>
        <w:pStyle w:val="Citation3"/>
      </w:pPr>
      <w:r w:rsidRPr="005712BF">
        <w:rPr>
          <w:u w:val="single"/>
        </w:rPr>
        <w:t>Nima Mohebbi, Craig Reiser, and Samuel Greenberg 2013</w:t>
      </w:r>
      <w:r w:rsidRPr="005712BF">
        <w:t xml:space="preserve"> (Mohebbi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 ) A Dynamic Formula for the Amount in Controversy, FEDERAL COURTS LAW REVIEW  </w:t>
      </w:r>
      <w:hyperlink r:id="rId70" w:history="1">
        <w:r w:rsidR="003B2A36" w:rsidRPr="0092046C">
          <w:rPr>
            <w:rStyle w:val="Hyperlink"/>
          </w:rPr>
          <w:t>http://www.fclr.org/fclr/articles/html/2010/dynamic.pdf</w:t>
        </w:r>
      </w:hyperlink>
      <w:r w:rsidR="003B2A36">
        <w:t xml:space="preserve"> </w:t>
      </w:r>
    </w:p>
    <w:p w14:paraId="14CD1F18" w14:textId="5B040D39" w:rsidR="00325A79" w:rsidRPr="007716E3" w:rsidRDefault="00325A79" w:rsidP="00325A79">
      <w:pPr>
        <w:pStyle w:val="Evidence"/>
      </w:pPr>
      <w:r>
        <w:t xml:space="preserve">One particularly welcoming benefit to moving diversity cases out of the federal docket would be the increased attention federal judges could give to federal questions. Federal courts have the ability to create binding precedent in this area of law and have the (sometimes exclusive) </w:t>
      </w:r>
      <w:r>
        <w:rPr>
          <w:sz w:val="14"/>
          <w:szCs w:val="14"/>
        </w:rPr>
        <w:t xml:space="preserve"> </w:t>
      </w:r>
      <w:r>
        <w:t>expertise to deal with federal questions. Issue specialization tends to improve outcomes, and the judiciary may not be different in that regard.</w:t>
      </w:r>
      <w:r w:rsidR="00F105BE">
        <w:rPr>
          <w:sz w:val="14"/>
          <w:szCs w:val="14"/>
        </w:rPr>
        <w:t xml:space="preserve"> </w:t>
      </w:r>
      <w:r>
        <w:t>Analogously, though Article III judges are traditionally classified as generalists, an increase in the jurisdictional focus in federal court would benefit both criminal and civil litigants. That is, the more time Article III judges have to consider federal claims, ideally, better law would conceivably result.</w:t>
      </w:r>
    </w:p>
    <w:p w14:paraId="04F3AEE6" w14:textId="58BA1AF3" w:rsidR="006425C4" w:rsidRDefault="006425C4" w:rsidP="006425C4">
      <w:pPr>
        <w:pStyle w:val="Contention2"/>
      </w:pPr>
      <w:bookmarkStart w:id="110" w:name="_Toc304930405"/>
      <w:bookmarkStart w:id="111" w:name="_Toc304984181"/>
      <w:r>
        <w:t>Congress has the power to set or limit diversity jurisdiction of federal courts</w:t>
      </w:r>
      <w:bookmarkEnd w:id="110"/>
      <w:bookmarkEnd w:id="111"/>
    </w:p>
    <w:p w14:paraId="452C8A15" w14:textId="454DED13" w:rsidR="006425C4" w:rsidRPr="006425C4" w:rsidRDefault="006425C4" w:rsidP="006425C4">
      <w:pPr>
        <w:pStyle w:val="Citation3"/>
      </w:pPr>
      <w:r w:rsidRPr="006425C4">
        <w:rPr>
          <w:u w:val="single"/>
        </w:rPr>
        <w:t>Rebecca Hild 2009</w:t>
      </w:r>
      <w:r w:rsidRPr="006425C4">
        <w:t xml:space="preserve"> (</w:t>
      </w:r>
      <w:r>
        <w:t>J.D. candidate at Baylor Univ. Law School</w:t>
      </w:r>
      <w:r w:rsidRPr="006425C4">
        <w:t xml:space="preserve">)  FEDERAL DIVERSITY JURISDICTION IN THE FIFTH CIRCUIT: MEETING THE AMOUNT IN CONTROVERSY, Baylor Law Review </w:t>
      </w:r>
      <w:hyperlink r:id="rId71" w:history="1">
        <w:r w:rsidR="003B2A36" w:rsidRPr="0092046C">
          <w:rPr>
            <w:rStyle w:val="Hyperlink"/>
          </w:rPr>
          <w:t>http://www.baylor.edu/content/services/document.php/116821.pdf</w:t>
        </w:r>
      </w:hyperlink>
      <w:r w:rsidR="003B2A36">
        <w:t xml:space="preserve"> </w:t>
      </w:r>
    </w:p>
    <w:p w14:paraId="13894E14" w14:textId="5C507C3D" w:rsidR="006425C4" w:rsidRDefault="006425C4" w:rsidP="006425C4">
      <w:pPr>
        <w:pStyle w:val="Evidence"/>
      </w:pPr>
      <w:r w:rsidRPr="006425C4">
        <w:t>Federal district courts have limited subject-matter jurisdiction.  The United States Constitution confers upon the federal judicial branch vast powers. However</w:t>
      </w:r>
      <w:r w:rsidRPr="006425C4">
        <w:rPr>
          <w:u w:val="single"/>
        </w:rPr>
        <w:t>, federal district courts have limited jurisdiction and may only adjudicate the matters for which Congress has created jurisdiction. The Judiciary Act of 1789 created the first grants of judicial power. In Section 11 of the Act, Congress created what we now call diversity jurisdiction—jurisdiction when citizens of different states sue each other</w:t>
      </w:r>
      <w:r w:rsidRPr="006425C4">
        <w:t xml:space="preserve">. </w:t>
      </w:r>
      <w:r w:rsidRPr="006425C4">
        <w:rPr>
          <w:u w:val="single"/>
        </w:rPr>
        <w:t>However, Congress only extended this jurisdiction if the matter in dispute exceeds, exclusive of costs, the sum or value of five hundred dollars.</w:t>
      </w:r>
      <w:r w:rsidRPr="006425C4">
        <w:rPr>
          <w:rFonts w:eastAsia="MS Mincho"/>
          <w:u w:val="single"/>
        </w:rPr>
        <w:t xml:space="preserve"> </w:t>
      </w:r>
      <w:r w:rsidRPr="006425C4">
        <w:rPr>
          <w:u w:val="single"/>
        </w:rPr>
        <w:t xml:space="preserve"> Over the years, this required amount has increased</w:t>
      </w:r>
      <w:r w:rsidRPr="006425C4">
        <w:t>. In 1887, the required amount needed to exceed $2000; in 1911, $3000; in 1958, $10,000; in 1988, $50,000; and in 1996, $75,000.</w:t>
      </w:r>
    </w:p>
    <w:p w14:paraId="6BC5A514" w14:textId="350BF34D" w:rsidR="007F229D" w:rsidRDefault="008E690D" w:rsidP="008E690D">
      <w:pPr>
        <w:pStyle w:val="Contention1"/>
      </w:pPr>
      <w:bookmarkStart w:id="112" w:name="_Toc304930406"/>
      <w:bookmarkStart w:id="113" w:name="_Toc304984182"/>
      <w:r>
        <w:t>DISADVANTAGE RESPONSES</w:t>
      </w:r>
      <w:bookmarkEnd w:id="112"/>
      <w:bookmarkEnd w:id="113"/>
    </w:p>
    <w:p w14:paraId="67E52431" w14:textId="5D7EAB8F" w:rsidR="00C5772D" w:rsidRDefault="00242BAF" w:rsidP="00C5772D">
      <w:pPr>
        <w:pStyle w:val="Contention2"/>
      </w:pPr>
      <w:bookmarkStart w:id="114" w:name="_Toc304930407"/>
      <w:bookmarkStart w:id="115" w:name="_Toc304984183"/>
      <w:r>
        <w:t>“Protection from local prejudice” – Response: Not really needed today</w:t>
      </w:r>
      <w:bookmarkEnd w:id="114"/>
      <w:bookmarkEnd w:id="115"/>
    </w:p>
    <w:p w14:paraId="451765D1" w14:textId="6875205C" w:rsidR="00C5772D" w:rsidRPr="005C05E0" w:rsidRDefault="00C5772D" w:rsidP="00C5772D">
      <w:pPr>
        <w:pStyle w:val="Citation3"/>
      </w:pPr>
      <w:r w:rsidRPr="00A968F1">
        <w:rPr>
          <w:u w:val="single"/>
        </w:rPr>
        <w:t>Prof. David Crump 2010</w:t>
      </w:r>
      <w:r>
        <w:t xml:space="preserve"> (J.D.; </w:t>
      </w:r>
      <w:r w:rsidRPr="005C05E0">
        <w:t xml:space="preserve">Professor of Law, University of Houston Law Center ) THE CASE FOR RESTRICTING DIVERSITY JURISDICTION: THE UNDEVELOPED ARGUMENTS, FROM THE RACE TO THE BOTTOM TO THE SUBSTITUTION EFFECT </w:t>
      </w:r>
      <w:hyperlink r:id="rId72" w:history="1">
        <w:r w:rsidR="003B2A36" w:rsidRPr="0092046C">
          <w:rPr>
            <w:rStyle w:val="Hyperlink"/>
          </w:rPr>
          <w:t>http://works.bepress.com/david_crump/6/</w:t>
        </w:r>
      </w:hyperlink>
      <w:r w:rsidR="003B2A36">
        <w:t xml:space="preserve"> </w:t>
      </w:r>
    </w:p>
    <w:p w14:paraId="4DC53954" w14:textId="23AE1194" w:rsidR="00C5772D" w:rsidRPr="00C5772D" w:rsidRDefault="00C5772D" w:rsidP="00C5772D">
      <w:pPr>
        <w:pStyle w:val="Evidence"/>
      </w:pPr>
      <w:r w:rsidRPr="00C5772D">
        <w:t>And furthermore, the larger question is whether protection against local prejudice is needed today in the same way in which it was when diversity was adopted. Today, communication is instantaneous, and mobility is national if not international. To put it another way, a New Yorker and a Houstonian may have more in common, and more affinity for each other, than either would have for a citizen of the same state with a different social status or lifestyle.</w:t>
      </w:r>
    </w:p>
    <w:p w14:paraId="0F241B2D" w14:textId="47DFD547" w:rsidR="00631FAE" w:rsidRDefault="00B56D62" w:rsidP="00B2468F">
      <w:pPr>
        <w:pStyle w:val="Contention2"/>
      </w:pPr>
      <w:bookmarkStart w:id="116" w:name="_Toc304930408"/>
      <w:bookmarkStart w:id="117" w:name="_Toc304984184"/>
      <w:r>
        <w:t>“Protection of commercial interests” – Response:  Not really needed and not really achieved by diversity jurisdiction</w:t>
      </w:r>
      <w:bookmarkEnd w:id="116"/>
      <w:bookmarkEnd w:id="117"/>
    </w:p>
    <w:p w14:paraId="335ADCEF" w14:textId="476C1BFA" w:rsidR="00B56D62" w:rsidRPr="005C05E0" w:rsidRDefault="00B56D62" w:rsidP="00B56D62">
      <w:pPr>
        <w:pStyle w:val="Citation3"/>
      </w:pPr>
      <w:r w:rsidRPr="00A968F1">
        <w:rPr>
          <w:u w:val="single"/>
        </w:rPr>
        <w:t>Prof. David Crump 2010</w:t>
      </w:r>
      <w:r>
        <w:t xml:space="preserve"> (J.D.; </w:t>
      </w:r>
      <w:r w:rsidRPr="005C05E0">
        <w:t xml:space="preserve">Professor of Law, University of Houston Law Center ) THE CASE FOR RESTRICTING DIVERSITY JURISDICTION: THE UNDEVELOPED ARGUMENTS, FROM THE RACE TO THE BOTTOM TO THE SUBSTITUTION EFFECT </w:t>
      </w:r>
      <w:hyperlink r:id="rId73" w:history="1">
        <w:r w:rsidR="003B2A36" w:rsidRPr="0092046C">
          <w:rPr>
            <w:rStyle w:val="Hyperlink"/>
          </w:rPr>
          <w:t>http://works.bepress.com/david_crump/6/</w:t>
        </w:r>
      </w:hyperlink>
      <w:r w:rsidR="003B2A36">
        <w:t xml:space="preserve"> </w:t>
      </w:r>
    </w:p>
    <w:p w14:paraId="3FDA8967" w14:textId="77777777" w:rsidR="00B56D62" w:rsidRDefault="00B56D62" w:rsidP="00B56D62">
      <w:pPr>
        <w:pStyle w:val="Evidence"/>
      </w:pPr>
      <w:r>
        <w:t>Second, some scholars believe that diversity jurisdiction was designed to protect commercial interests.</w:t>
      </w:r>
      <w:r>
        <w:rPr>
          <w:sz w:val="16"/>
          <w:szCs w:val="16"/>
        </w:rPr>
        <w:t xml:space="preserve">  </w:t>
      </w:r>
      <w:r>
        <w:t>The difference between States inhabited by creditors and those inhabited by debtors was one of the major divisions that had to be overcome at the Constitutional Convention.</w:t>
      </w:r>
      <w:r>
        <w:rPr>
          <w:sz w:val="16"/>
          <w:szCs w:val="16"/>
        </w:rPr>
        <w:t xml:space="preserve"> </w:t>
      </w:r>
      <w:r>
        <w:t>As with the local prejudice rationale, however, one can question whether diversity jurisdiction achieves the result, or whether it is needed to do so in today’s climate.</w:t>
      </w:r>
    </w:p>
    <w:p w14:paraId="280583AA" w14:textId="050ACB3B" w:rsidR="00BE3A7E" w:rsidRDefault="00BE3A7E" w:rsidP="00BE3A7E">
      <w:pPr>
        <w:pStyle w:val="Contention2"/>
      </w:pPr>
      <w:bookmarkStart w:id="118" w:name="_Toc304930409"/>
      <w:bookmarkStart w:id="119" w:name="_Toc304984185"/>
      <w:r>
        <w:lastRenderedPageBreak/>
        <w:t>Federal courts aren’t necessarily “better” than state courts</w:t>
      </w:r>
      <w:bookmarkEnd w:id="118"/>
      <w:bookmarkEnd w:id="119"/>
    </w:p>
    <w:p w14:paraId="6002E891" w14:textId="4B9AD406" w:rsidR="00BE3A7E" w:rsidRPr="005C05E0" w:rsidRDefault="00BE3A7E" w:rsidP="00BE3A7E">
      <w:pPr>
        <w:pStyle w:val="Citation3"/>
      </w:pPr>
      <w:r w:rsidRPr="00A968F1">
        <w:rPr>
          <w:u w:val="single"/>
        </w:rPr>
        <w:t>Prof. David Crump 2010</w:t>
      </w:r>
      <w:r>
        <w:t xml:space="preserve"> (J.D.; </w:t>
      </w:r>
      <w:r w:rsidRPr="005C05E0">
        <w:t xml:space="preserve">Professor of Law, University of Houston Law Center ) THE CASE FOR RESTRICTING DIVERSITY JURISDICTION: THE UNDEVELOPED ARGUMENTS, FROM THE RACE TO THE BOTTOM TO THE SUBSTITUTION EFFECT </w:t>
      </w:r>
      <w:hyperlink r:id="rId74" w:history="1">
        <w:r w:rsidR="003B2A36" w:rsidRPr="0092046C">
          <w:rPr>
            <w:rStyle w:val="Hyperlink"/>
          </w:rPr>
          <w:t>http://works.bepress.com/david_crump/6/</w:t>
        </w:r>
      </w:hyperlink>
      <w:r w:rsidR="003B2A36">
        <w:t xml:space="preserve"> </w:t>
      </w:r>
    </w:p>
    <w:p w14:paraId="4448AE7D" w14:textId="7A5D1D4A" w:rsidR="00B56D62" w:rsidRDefault="00BE3A7E" w:rsidP="00BE3A7E">
      <w:pPr>
        <w:pStyle w:val="Evidence"/>
      </w:pPr>
      <w:r>
        <w:t>A third rationale for diversity was the expectation that the federal courts generally would furnish a superior forum. As one congressional report puts it, the argument was that “the federal courts being better than the state, it was preferable to route as many cases into the former as possible.”</w:t>
      </w:r>
      <w:r>
        <w:rPr>
          <w:sz w:val="16"/>
          <w:szCs w:val="16"/>
        </w:rPr>
        <w:t xml:space="preserve">  </w:t>
      </w:r>
      <w:r>
        <w:t>But the question remains: “Better” by what measure? Just as a small claims court might not be better for adjudicating a multi-million dollar claim, or vice versa, federal courts might not be superior for the resolution of controversies of average size that depend purely upon state law.</w:t>
      </w:r>
    </w:p>
    <w:p w14:paraId="050AD0DF" w14:textId="47A39207" w:rsidR="0091160F" w:rsidRDefault="0091160F" w:rsidP="0091160F">
      <w:pPr>
        <w:pStyle w:val="Contention2"/>
      </w:pPr>
      <w:bookmarkStart w:id="120" w:name="_Toc304930410"/>
      <w:bookmarkStart w:id="121" w:name="_Toc304984186"/>
      <w:r>
        <w:t>“Choice of forum is good” – Response:  Actually, it’s bad and another argument against diversity</w:t>
      </w:r>
      <w:bookmarkEnd w:id="120"/>
      <w:bookmarkEnd w:id="121"/>
    </w:p>
    <w:p w14:paraId="4AD76D71" w14:textId="7F13CB88" w:rsidR="0091160F" w:rsidRPr="005C05E0" w:rsidRDefault="0091160F" w:rsidP="0091160F">
      <w:pPr>
        <w:pStyle w:val="Citation3"/>
      </w:pPr>
      <w:r w:rsidRPr="00A968F1">
        <w:rPr>
          <w:u w:val="single"/>
        </w:rPr>
        <w:t>Prof. David Crump 2010</w:t>
      </w:r>
      <w:r>
        <w:t xml:space="preserve"> (J.D.; </w:t>
      </w:r>
      <w:r w:rsidRPr="005C05E0">
        <w:t xml:space="preserve">Professor of Law, University of Houston Law Center ) THE CASE FOR RESTRICTING DIVERSITY JURISDICTION: THE UNDEVELOPED ARGUMENTS, FROM THE RACE TO THE BOTTOM TO THE SUBSTITUTION EFFECT </w:t>
      </w:r>
      <w:hyperlink r:id="rId75" w:history="1">
        <w:r w:rsidR="003B2A36" w:rsidRPr="0092046C">
          <w:rPr>
            <w:rStyle w:val="Hyperlink"/>
          </w:rPr>
          <w:t>http://works.bepress.com/david_crump/6/</w:t>
        </w:r>
      </w:hyperlink>
      <w:r w:rsidR="003B2A36">
        <w:t xml:space="preserve"> </w:t>
      </w:r>
    </w:p>
    <w:p w14:paraId="02402017" w14:textId="2E9FE519" w:rsidR="0091160F" w:rsidRDefault="0091160F" w:rsidP="0091160F">
      <w:pPr>
        <w:pStyle w:val="Evidence"/>
      </w:pPr>
      <w:r>
        <w:t>But this “choice-is-good” argument is transparently lacking in merit, in spite of its widespread acceptance. The traditional arguments overlook the fact that litigators do not prefer a fair forum, or for that matter a theoretically better one. Someone gets the final choice, whether state or federal. If that litigant has a bad case and will be advantaged by an arbitrary judge, that is the direction in which a strong-stomached lawyer will make the choice. Thus, not only is the choice-of-forum argument misplaced, but actually, its opposite is true. It furnishes an argument against diversity, one that this article will develop below.</w:t>
      </w:r>
    </w:p>
    <w:p w14:paraId="7C2CAF1B" w14:textId="72484E27" w:rsidR="00EB25E8" w:rsidRDefault="00EB25E8" w:rsidP="00EB25E8">
      <w:pPr>
        <w:pStyle w:val="Contention2"/>
      </w:pPr>
      <w:bookmarkStart w:id="122" w:name="_Toc304930411"/>
      <w:bookmarkStart w:id="123" w:name="_Toc304984187"/>
      <w:r>
        <w:t>In-depth analysis of why choice of forums is bad, not good: It rewards weak cases and promotes a “race to the bottom” in search of poor judges</w:t>
      </w:r>
      <w:bookmarkEnd w:id="122"/>
      <w:bookmarkEnd w:id="123"/>
    </w:p>
    <w:p w14:paraId="0C1BF8B0" w14:textId="044713F5" w:rsidR="00EB25E8" w:rsidRPr="005C05E0" w:rsidRDefault="00EB25E8" w:rsidP="00EB25E8">
      <w:pPr>
        <w:pStyle w:val="Citation3"/>
      </w:pPr>
      <w:r w:rsidRPr="00A968F1">
        <w:rPr>
          <w:u w:val="single"/>
        </w:rPr>
        <w:t>Prof. David Crump 2010</w:t>
      </w:r>
      <w:r>
        <w:t xml:space="preserve"> (J.D.; </w:t>
      </w:r>
      <w:r w:rsidRPr="005C05E0">
        <w:t xml:space="preserve">Professor of Law, University of Houston Law Center ) THE CASE FOR RESTRICTING DIVERSITY JURISDICTION: THE UNDEVELOPED ARGUMENTS, FROM THE RACE TO THE BOTTOM TO THE SUBSTITUTION EFFECT </w:t>
      </w:r>
      <w:hyperlink r:id="rId76" w:history="1">
        <w:r w:rsidR="003B2A36" w:rsidRPr="0092046C">
          <w:rPr>
            <w:rStyle w:val="Hyperlink"/>
          </w:rPr>
          <w:t>http://works.bepress.com/david_crump/6/</w:t>
        </w:r>
      </w:hyperlink>
      <w:r w:rsidR="003B2A36">
        <w:t xml:space="preserve"> </w:t>
      </w:r>
    </w:p>
    <w:p w14:paraId="43AA191D" w14:textId="52A81016" w:rsidR="00EB25E8" w:rsidRDefault="00EB25E8" w:rsidP="00EB25E8">
      <w:pPr>
        <w:pStyle w:val="Evidence"/>
        <w:rPr>
          <w:u w:val="single"/>
        </w:rPr>
      </w:pPr>
      <w:r w:rsidRPr="00EB25E8">
        <w:t xml:space="preserve">To understand how the Ice Bowl resembles the effect of diversity, </w:t>
      </w:r>
      <w:r w:rsidRPr="00EB25E8">
        <w:rPr>
          <w:u w:val="single"/>
        </w:rPr>
        <w:t>imagine a litigant who has the choice of litigating before Judge Goode or Judge Baad. Judge Goode sets aside his personal biases, addresses issues promptly, follows the law, and deals courteously with the litigants. Judge Baad gives free reign to his prejudices, delays decisions so as to increase expense, does not care much whether he follows the law, and is abusive of counsel. One might expect that it would be more pleasant to try a case in front of Judge Goode than Judge Baad</w:t>
      </w:r>
      <w:r w:rsidRPr="00EB25E8">
        <w:t xml:space="preserve">. Therefore, John Frank’s “choice” theory would predict that the parties, both of them, would exercise every available option toward the same end: to get their case out of Judge Baad’s court and into Judge Goode’s. </w:t>
      </w:r>
      <w:r w:rsidRPr="00EB25E8">
        <w:rPr>
          <w:u w:val="single"/>
        </w:rPr>
        <w:t>But is the choice theory correct?</w:t>
      </w:r>
      <w:r w:rsidRPr="00EB25E8">
        <w:t xml:space="preserve"> The obvious answer shown by the Green Bay Packer’s choice of forum is, </w:t>
      </w:r>
      <w:r w:rsidRPr="00EB25E8">
        <w:rPr>
          <w:u w:val="single"/>
        </w:rPr>
        <w:t>“No, the ‘choice-is-good’ theory is not correct.” Imagine that one of the litigants has a case that is weak. It is weak factually, and it is weak legally. On a level playing field, the lawyer with the weak case is more likely to lose. An arbitrary, incendiary, lawless judge helps that party</w:t>
      </w:r>
      <w:r w:rsidRPr="00EB25E8">
        <w:t xml:space="preserve">. The kinship between the Green Bay Packers </w:t>
      </w:r>
      <w:r w:rsidRPr="00EB25E8">
        <w:rPr>
          <w:u w:val="single"/>
        </w:rPr>
        <w:t>and lawyers with relatively weak cases</w:t>
      </w:r>
      <w:r w:rsidRPr="00EB25E8">
        <w:t xml:space="preserve"> is that both </w:t>
      </w:r>
      <w:r w:rsidRPr="00EB25E8">
        <w:rPr>
          <w:u w:val="single"/>
        </w:rPr>
        <w:t>benefit from the race to the bottom. Thus the lawyer with the ability to get the case in front of Judge Baad will do so, if winning the race to the bottom increases the likelihood of winning the case.</w:t>
      </w:r>
    </w:p>
    <w:p w14:paraId="66D808EA" w14:textId="182871A9" w:rsidR="000F5642" w:rsidRDefault="000F5642" w:rsidP="000F5642">
      <w:pPr>
        <w:pStyle w:val="Contention2"/>
      </w:pPr>
      <w:bookmarkStart w:id="124" w:name="_Toc304930412"/>
      <w:bookmarkStart w:id="125" w:name="_Toc304984188"/>
      <w:r>
        <w:t>“Choice of forum is good” – Response:  Based on a fallacy that choice is being made with good motives</w:t>
      </w:r>
      <w:bookmarkEnd w:id="124"/>
      <w:bookmarkEnd w:id="125"/>
    </w:p>
    <w:p w14:paraId="76123B35" w14:textId="6D7DE9B4" w:rsidR="000F5642" w:rsidRPr="005C05E0" w:rsidRDefault="000F5642" w:rsidP="000F5642">
      <w:pPr>
        <w:pStyle w:val="Citation3"/>
      </w:pPr>
      <w:r w:rsidRPr="00A968F1">
        <w:rPr>
          <w:u w:val="single"/>
        </w:rPr>
        <w:t>Prof. David Crump 2010</w:t>
      </w:r>
      <w:r>
        <w:t xml:space="preserve"> (J.D.; </w:t>
      </w:r>
      <w:r w:rsidRPr="005C05E0">
        <w:t xml:space="preserve">Professor of Law, University of Houston Law Center ) THE CASE FOR RESTRICTING DIVERSITY JURISDICTION: THE UNDEVELOPED ARGUMENTS, FROM THE RACE TO THE BOTTOM TO THE SUBSTITUTION EFFECT </w:t>
      </w:r>
      <w:hyperlink r:id="rId77" w:history="1">
        <w:r w:rsidR="003B2A36" w:rsidRPr="0092046C">
          <w:rPr>
            <w:rStyle w:val="Hyperlink"/>
          </w:rPr>
          <w:t>http://works.bepress.com/david_crump/6/</w:t>
        </w:r>
      </w:hyperlink>
      <w:r w:rsidR="003B2A36">
        <w:t xml:space="preserve"> </w:t>
      </w:r>
    </w:p>
    <w:p w14:paraId="0707CD9B" w14:textId="0FADDA7E" w:rsidR="000F5642" w:rsidRPr="000F5642" w:rsidRDefault="000F5642" w:rsidP="000F5642">
      <w:pPr>
        <w:pStyle w:val="Evidence"/>
      </w:pPr>
      <w:r w:rsidRPr="000F5642">
        <w:t xml:space="preserve">The choice-is-good theory builds upon a fallacy by assuming that the choice will be made in the most noble way possible. Like the Packers, lawyers want to win, even if they have losing cases; and they will race to the bottom, if their choice is the dominant one and if choosing the worst forum will help them to win. This phenomenon, the race to the bottom, is inherent in diversity jurisdiction. The traditional arguments against diversity do not effectively answer the choice-is-good argument. They often fail to point out that the choice is one-sided. </w:t>
      </w:r>
    </w:p>
    <w:p w14:paraId="6275FAAF" w14:textId="29EF1E8E" w:rsidR="0025630B" w:rsidRDefault="0025630B" w:rsidP="0025630B">
      <w:pPr>
        <w:pStyle w:val="Contention2"/>
      </w:pPr>
      <w:bookmarkStart w:id="126" w:name="_Toc304930413"/>
      <w:bookmarkStart w:id="127" w:name="_Toc304984189"/>
      <w:r>
        <w:lastRenderedPageBreak/>
        <w:t>“Overwhelm State courts” – Response: States are able and willing to pick up the cases</w:t>
      </w:r>
      <w:bookmarkEnd w:id="126"/>
      <w:bookmarkEnd w:id="127"/>
    </w:p>
    <w:p w14:paraId="63EA6C2D" w14:textId="3494DC2C" w:rsidR="00282955" w:rsidRPr="005C05E0" w:rsidRDefault="00282955" w:rsidP="00282955">
      <w:pPr>
        <w:pStyle w:val="Citation3"/>
      </w:pPr>
      <w:r w:rsidRPr="00A968F1">
        <w:rPr>
          <w:u w:val="single"/>
        </w:rPr>
        <w:t>Prof. David Crump 2010</w:t>
      </w:r>
      <w:r>
        <w:t xml:space="preserve"> (J.D.; </w:t>
      </w:r>
      <w:r w:rsidRPr="005C05E0">
        <w:t xml:space="preserve">Professor of Law, University of Houston Law Center) THE CASE FOR RESTRICTING DIVERSITY JURISDICTION: THE UNDEVELOPED ARGUMENTS, FROM THE RACE TO THE BOTTOM TO THE SUBSTITUTION EFFECT </w:t>
      </w:r>
      <w:hyperlink r:id="rId78" w:history="1">
        <w:r w:rsidR="008E62D1" w:rsidRPr="0092046C">
          <w:rPr>
            <w:rStyle w:val="Hyperlink"/>
          </w:rPr>
          <w:t>http://works.bepress.com/david_crump/6/</w:t>
        </w:r>
      </w:hyperlink>
      <w:r w:rsidR="008E62D1">
        <w:t xml:space="preserve"> </w:t>
      </w:r>
      <w:r>
        <w:t>(ellipses in original)</w:t>
      </w:r>
    </w:p>
    <w:p w14:paraId="1B5BC05B" w14:textId="352A7596" w:rsidR="0025630B" w:rsidRDefault="0025630B" w:rsidP="00282955">
      <w:pPr>
        <w:pStyle w:val="Evidence"/>
      </w:pPr>
      <w:r>
        <w:t>The first argument is that abolition would preserve a federal forum for those with federal</w:t>
      </w:r>
      <w:r w:rsidR="00282955">
        <w:t xml:space="preserve"> </w:t>
      </w:r>
      <w:r>
        <w:t>claims.</w:t>
      </w:r>
      <w:r w:rsidR="00282955">
        <w:t xml:space="preserve"> </w:t>
      </w:r>
      <w:r>
        <w:rPr>
          <w:sz w:val="16"/>
          <w:szCs w:val="16"/>
        </w:rPr>
        <w:t xml:space="preserve"> </w:t>
      </w:r>
      <w:r>
        <w:t xml:space="preserve">At the same time, </w:t>
      </w:r>
      <w:r w:rsidRPr="00282955">
        <w:rPr>
          <w:u w:val="single"/>
        </w:rPr>
        <w:t xml:space="preserve">abolition would add only negligibly to the case load of state courts. “Essentially, 32,000 cases pending before 400 federal district judges will cause few problems when allocated among 6,000 state judges of general jurisdiction.” </w:t>
      </w:r>
      <w:r w:rsidRPr="00282955">
        <w:rPr>
          <w:sz w:val="16"/>
          <w:szCs w:val="16"/>
          <w:u w:val="single"/>
        </w:rPr>
        <w:t xml:space="preserve"> </w:t>
      </w:r>
      <w:r w:rsidRPr="00282955">
        <w:rPr>
          <w:u w:val="single"/>
        </w:rPr>
        <w:t>The conference of state chief justices passed a resolution observing that state courts were “able and willing” to assume all or part of the federal diversity jurisdiction</w:t>
      </w:r>
      <w:r>
        <w:t xml:space="preserve">. </w:t>
      </w:r>
      <w:r>
        <w:rPr>
          <w:sz w:val="16"/>
          <w:szCs w:val="16"/>
        </w:rPr>
        <w:t xml:space="preserve"> </w:t>
      </w:r>
      <w:r>
        <w:t>As Professor Wright put it, “I am concerned with people who want to take advantage of laws that Congress has passed in the last 15 years, giving rights that did not exist . . . . I want them to be able to get to trial.”</w:t>
      </w:r>
      <w:r w:rsidR="00282955">
        <w:t xml:space="preserve"> </w:t>
      </w:r>
      <w:r>
        <w:rPr>
          <w:sz w:val="16"/>
          <w:szCs w:val="16"/>
        </w:rPr>
        <w:t xml:space="preserve"> </w:t>
      </w:r>
      <w:r>
        <w:t>Federal courts offer no</w:t>
      </w:r>
      <w:r w:rsidR="00282955">
        <w:t xml:space="preserve"> </w:t>
      </w:r>
      <w:r>
        <w:t>special advantages in deciding state-law cases, and “perhaps no other major class of cases has a</w:t>
      </w:r>
      <w:r w:rsidR="00282955">
        <w:t xml:space="preserve"> </w:t>
      </w:r>
      <w:r>
        <w:t>weaker claim on federal judicial resources.”</w:t>
      </w:r>
    </w:p>
    <w:p w14:paraId="457C1E38" w14:textId="29EFBF1F" w:rsidR="00F105BE" w:rsidRDefault="00F105BE" w:rsidP="00F105BE">
      <w:pPr>
        <w:pStyle w:val="Contention2"/>
      </w:pPr>
      <w:bookmarkStart w:id="128" w:name="_Toc304930414"/>
      <w:bookmarkStart w:id="129" w:name="_Toc304984190"/>
      <w:r>
        <w:t>“Burden on State courts” – Response:  States would not be excessively burdened by diversity cases</w:t>
      </w:r>
      <w:bookmarkEnd w:id="128"/>
      <w:bookmarkEnd w:id="129"/>
    </w:p>
    <w:p w14:paraId="7F13E2A7" w14:textId="14C6FD2E" w:rsidR="00F105BE" w:rsidRPr="005712BF" w:rsidRDefault="00F105BE" w:rsidP="00F105BE">
      <w:pPr>
        <w:pStyle w:val="Citation3"/>
      </w:pPr>
      <w:r w:rsidRPr="005712BF">
        <w:rPr>
          <w:u w:val="single"/>
        </w:rPr>
        <w:t>Nima Mohebbi, Craig Reiser, and Samuel Greenberg 2013</w:t>
      </w:r>
      <w:r w:rsidRPr="005712BF">
        <w:t xml:space="preserve"> (Mohebbi – J.D., Litigation Associate at Latham &amp; Watkins, LLP; Law Clerk to the Honorable Jerome A. Holmes, United States Court of Appeals for the Tenth Circuit, 2011-2012. Reiser – J.D. Law Clerk to the Honorable Kent A. Jordan, United States Court of Appeals for the Third Circuit, 2011-2012. Greenberg – J.D., Tax Associate at Latham &amp; Watkins, LLP ) A Dynamic Formula for the Amount in Controversy, FEDERAL COURTS LAW REVIEW  </w:t>
      </w:r>
      <w:hyperlink r:id="rId79" w:history="1">
        <w:r w:rsidR="008E62D1" w:rsidRPr="0092046C">
          <w:rPr>
            <w:rStyle w:val="Hyperlink"/>
          </w:rPr>
          <w:t>http://www.fclr.org/fclr/articles/html/2010/dynamic.pdf</w:t>
        </w:r>
      </w:hyperlink>
      <w:r w:rsidR="008E62D1">
        <w:t xml:space="preserve"> </w:t>
      </w:r>
    </w:p>
    <w:p w14:paraId="17BAB70F" w14:textId="77777777" w:rsidR="00F105BE" w:rsidRPr="00F105BE" w:rsidRDefault="00F105BE" w:rsidP="00F105BE">
      <w:pPr>
        <w:pStyle w:val="Evidence"/>
      </w:pPr>
      <w:r w:rsidRPr="00F105BE">
        <w:t xml:space="preserve">By moving cases out of the federal docket to the state courts, the federal government will arguably strip the states of a federal subsidy at a particularly inopportune time. But while that argument holds some merit, there is scant empirical evidence suggesting that reducing the federal diversity docket places as substantial a burden on state courts as the failure to alleviate it does on the federal judiciary. On the contrary, many commentators have indeed opined that significantly reducing diversity jurisdiction would not greatly burden state courts. </w:t>
      </w:r>
    </w:p>
    <w:p w14:paraId="6499E0F1" w14:textId="710D87EC" w:rsidR="009A1C8F" w:rsidRDefault="009A1C8F" w:rsidP="00F105BE">
      <w:pPr>
        <w:pStyle w:val="Contention2"/>
      </w:pPr>
      <w:bookmarkStart w:id="130" w:name="_Toc304930415"/>
      <w:bookmarkStart w:id="131" w:name="_Toc304984191"/>
      <w:r>
        <w:t>“</w:t>
      </w:r>
      <w:r w:rsidR="0046597B">
        <w:t>S</w:t>
      </w:r>
      <w:r>
        <w:t xml:space="preserve">tates can’t afford it” – Response: </w:t>
      </w:r>
      <w:bookmarkStart w:id="132" w:name="_Toc416107432"/>
      <w:r>
        <w:t>State budgets are in good shape</w:t>
      </w:r>
      <w:bookmarkEnd w:id="130"/>
      <w:bookmarkEnd w:id="131"/>
      <w:bookmarkEnd w:id="132"/>
    </w:p>
    <w:p w14:paraId="7E576493" w14:textId="5CE44889" w:rsidR="009A1C8F" w:rsidRDefault="009A1C8F" w:rsidP="009A1C8F">
      <w:pPr>
        <w:pStyle w:val="Citation3"/>
      </w:pPr>
      <w:r w:rsidRPr="00907A74">
        <w:rPr>
          <w:u w:val="single"/>
        </w:rPr>
        <w:t>WASHINGTON POST 2014</w:t>
      </w:r>
      <w:r w:rsidRPr="00B11182">
        <w:t>. (journalist Reid Wilson) 15 July 2014  After years of cuts, state budgets show surpluses</w:t>
      </w:r>
      <w:r>
        <w:t xml:space="preserve"> </w:t>
      </w:r>
      <w:hyperlink r:id="rId80" w:history="1">
        <w:r w:rsidR="00ED1988" w:rsidRPr="0092046C">
          <w:rPr>
            <w:rStyle w:val="Hyperlink"/>
          </w:rPr>
          <w:t>http://www.washingtonpost.com/blogs/govbeat/wp/2014/07/15/after-years-of-cuts-state-budgets-show-surpluses/</w:t>
        </w:r>
      </w:hyperlink>
      <w:r w:rsidR="00ED1988">
        <w:t xml:space="preserve"> </w:t>
      </w:r>
    </w:p>
    <w:p w14:paraId="79BA523C" w14:textId="77777777" w:rsidR="009A1C8F" w:rsidRPr="00B11182" w:rsidRDefault="009A1C8F" w:rsidP="009A1C8F">
      <w:pPr>
        <w:pStyle w:val="Evidence"/>
      </w:pPr>
      <w:r w:rsidRPr="00B11182">
        <w:t>Years after a recession hammered state budgets, forcing across-the-board cuts to programs and services, the economic recovery is once again bolstering personal and corporate incomes, and swelling state coffers beyond expectations.</w:t>
      </w:r>
      <w:r>
        <w:t xml:space="preserve"> </w:t>
      </w:r>
      <w:r w:rsidRPr="00B11182">
        <w:t>Initial reports show many states ended Fiscal Year 2014 with budget surpluses, thanks to growing tax revenue collections. In some cases, states have hundreds of millions or billions of dollars to spend. Other states pulled in just a few million dollars over the break-even point. But even the smallest surplus is better than the tide of red ink that washed over states during the depths of the recession.</w:t>
      </w:r>
    </w:p>
    <w:sectPr w:rsidR="009A1C8F" w:rsidRPr="00B11182" w:rsidSect="002B5BD4">
      <w:headerReference w:type="default" r:id="rId8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EEC8A" w14:textId="77777777" w:rsidR="00601A7E" w:rsidRDefault="00601A7E" w:rsidP="001D5FD6">
      <w:pPr>
        <w:spacing w:after="0" w:line="240" w:lineRule="auto"/>
      </w:pPr>
      <w:r>
        <w:separator/>
      </w:r>
    </w:p>
  </w:endnote>
  <w:endnote w:type="continuationSeparator" w:id="0">
    <w:p w14:paraId="55A6CCEE" w14:textId="77777777" w:rsidR="00601A7E" w:rsidRDefault="00601A7E"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JEEEA J+ Goudy">
    <w:altName w:val="Cambria"/>
    <w:panose1 w:val="00000000000000000000"/>
    <w:charset w:val="00"/>
    <w:family w:val="roman"/>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E8285" w14:textId="306A718E" w:rsidR="00762B98" w:rsidRPr="00B964DA" w:rsidRDefault="00762B98" w:rsidP="00AF1D3F">
    <w:pPr>
      <w:pStyle w:val="Footer"/>
      <w:tabs>
        <w:tab w:val="clear" w:pos="4320"/>
        <w:tab w:val="clear" w:pos="8640"/>
        <w:tab w:val="center" w:pos="4680"/>
        <w:tab w:val="right" w:pos="9360"/>
      </w:tabs>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7D485C">
      <w:rPr>
        <w:noProof/>
        <w:sz w:val="24"/>
        <w:szCs w:val="24"/>
      </w:rPr>
      <w:t>3</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7D485C">
      <w:rPr>
        <w:noProof/>
        <w:sz w:val="24"/>
        <w:szCs w:val="24"/>
      </w:rPr>
      <w:t>20</w:t>
    </w:r>
    <w:r w:rsidRPr="0018486A">
      <w:rPr>
        <w:b w:val="0"/>
        <w:sz w:val="24"/>
        <w:szCs w:val="24"/>
      </w:rPr>
      <w:fldChar w:fldCharType="end"/>
    </w:r>
    <w:r>
      <w:tab/>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02FC5" w14:textId="77777777" w:rsidR="00601A7E" w:rsidRDefault="00601A7E" w:rsidP="001D5FD6">
      <w:pPr>
        <w:spacing w:after="0" w:line="240" w:lineRule="auto"/>
      </w:pPr>
      <w:r>
        <w:separator/>
      </w:r>
    </w:p>
  </w:footnote>
  <w:footnote w:type="continuationSeparator" w:id="0">
    <w:p w14:paraId="1EE482A8" w14:textId="77777777" w:rsidR="00601A7E" w:rsidRDefault="00601A7E" w:rsidP="001D5FD6">
      <w:pPr>
        <w:spacing w:after="0" w:line="240" w:lineRule="auto"/>
      </w:pPr>
      <w:r>
        <w:continuationSeparator/>
      </w:r>
    </w:p>
  </w:footnote>
  <w:footnote w:id="1">
    <w:p w14:paraId="64056DCE" w14:textId="1A734F81" w:rsidR="00762B98" w:rsidRPr="006B74F8" w:rsidRDefault="00762B98" w:rsidP="006B74F8">
      <w:pPr>
        <w:pStyle w:val="Citation3"/>
      </w:pPr>
      <w:r>
        <w:rPr>
          <w:rStyle w:val="FootnoteReference"/>
        </w:rPr>
        <w:footnoteRef/>
      </w:r>
      <w:r>
        <w:t xml:space="preserve"> </w:t>
      </w:r>
      <w:r w:rsidRPr="006B74F8">
        <w:rPr>
          <w:sz w:val="18"/>
          <w:szCs w:val="18"/>
          <w:u w:val="single"/>
        </w:rPr>
        <w:t>Prof. Marvin K. Levy 2014</w:t>
      </w:r>
      <w:r w:rsidRPr="006B74F8">
        <w:rPr>
          <w:sz w:val="18"/>
          <w:szCs w:val="18"/>
        </w:rPr>
        <w:t xml:space="preserve"> (Associate Professor of Law, Duke University School of Law) Judging Justice on Appeal, YALE LAW JOURNAL  Volume 123 </w:t>
      </w:r>
      <w:hyperlink r:id="rId1" w:history="1">
        <w:r w:rsidRPr="006B74F8">
          <w:rPr>
            <w:rStyle w:val="Hyperlink"/>
            <w:sz w:val="18"/>
            <w:szCs w:val="18"/>
          </w:rPr>
          <w:t>http://scholarship.law.duke.edu/cgi/viewcontent.cgi?article=6009&amp;context=faculty_scholarship</w:t>
        </w:r>
      </w:hyperlink>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00AB" w14:textId="1319BDF2" w:rsidR="00762B98" w:rsidRDefault="00762B98" w:rsidP="00AF1D3F">
    <w:pPr>
      <w:pStyle w:val="Footer"/>
    </w:pPr>
    <w:r>
      <w:t>CASE: Diversity Jurisdiction</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68817" w14:textId="65985DD8" w:rsidR="00762B98" w:rsidRPr="00F04C23" w:rsidRDefault="00762B98" w:rsidP="00F04C23">
    <w:pPr>
      <w:pStyle w:val="Footer"/>
      <w:tabs>
        <w:tab w:val="clear" w:pos="4320"/>
        <w:tab w:val="clear" w:pos="8640"/>
        <w:tab w:val="center" w:pos="4680"/>
        <w:tab w:val="right" w:pos="9360"/>
      </w:tabs>
      <w:rPr>
        <w:b w:val="0"/>
        <w:smallCaps w:val="0"/>
      </w:rPr>
    </w:pPr>
    <w:r>
      <w:t>CASE: Diversity Jurisdiction</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28A30" w14:textId="19B73730" w:rsidR="00762B98" w:rsidRPr="00F04C23" w:rsidRDefault="00762B98" w:rsidP="00F04C23">
    <w:pPr>
      <w:pStyle w:val="Footer"/>
      <w:tabs>
        <w:tab w:val="clear" w:pos="4320"/>
        <w:tab w:val="clear" w:pos="8640"/>
        <w:tab w:val="center" w:pos="4680"/>
        <w:tab w:val="right" w:pos="9360"/>
      </w:tabs>
      <w:rPr>
        <w:b w:val="0"/>
        <w:smallCaps w:val="0"/>
      </w:rPr>
    </w:pPr>
    <w:r>
      <w:t>2A Evidence: Diversity Jurisdiction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4D62449"/>
    <w:multiLevelType w:val="multilevel"/>
    <w:tmpl w:val="6ECA97EC"/>
    <w:styleLink w:val="Numbered"/>
    <w:lvl w:ilvl="0">
      <w:start w:val="1"/>
      <w:numFmt w:val="decimal"/>
      <w:lvlText w:val="%1."/>
      <w:lvlJc w:val="left"/>
      <w:pPr>
        <w:tabs>
          <w:tab w:val="num" w:pos="327"/>
        </w:tabs>
        <w:ind w:left="3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lvlText w:val="%2."/>
      <w:lvlJc w:val="left"/>
      <w:pPr>
        <w:tabs>
          <w:tab w:val="num" w:pos="687"/>
        </w:tabs>
        <w:ind w:left="6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lvlText w:val="%3."/>
      <w:lvlJc w:val="left"/>
      <w:pPr>
        <w:tabs>
          <w:tab w:val="num" w:pos="1047"/>
        </w:tabs>
        <w:ind w:left="10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lvlText w:val="%4."/>
      <w:lvlJc w:val="left"/>
      <w:pPr>
        <w:tabs>
          <w:tab w:val="num" w:pos="1407"/>
        </w:tabs>
        <w:ind w:left="14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lvlText w:val="%5."/>
      <w:lvlJc w:val="left"/>
      <w:pPr>
        <w:tabs>
          <w:tab w:val="num" w:pos="1767"/>
        </w:tabs>
        <w:ind w:left="176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lvlText w:val="%6."/>
      <w:lvlJc w:val="left"/>
      <w:pPr>
        <w:tabs>
          <w:tab w:val="num" w:pos="2127"/>
        </w:tabs>
        <w:ind w:left="21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lvlText w:val="%7."/>
      <w:lvlJc w:val="left"/>
      <w:pPr>
        <w:tabs>
          <w:tab w:val="num" w:pos="2487"/>
        </w:tabs>
        <w:ind w:left="24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lvlText w:val="%8."/>
      <w:lvlJc w:val="left"/>
      <w:pPr>
        <w:tabs>
          <w:tab w:val="num" w:pos="2847"/>
        </w:tabs>
        <w:ind w:left="28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lvlText w:val="%9."/>
      <w:lvlJc w:val="left"/>
      <w:pPr>
        <w:tabs>
          <w:tab w:val="num" w:pos="3207"/>
        </w:tabs>
        <w:ind w:left="32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34456823"/>
    <w:multiLevelType w:val="multilevel"/>
    <w:tmpl w:val="AAC86F3E"/>
    <w:styleLink w:val="Bullet"/>
    <w:lvl w:ilvl="0">
      <w:numFmt w:val="bullet"/>
      <w:lvlText w:val="•"/>
      <w:lvlJc w:val="left"/>
      <w:pPr>
        <w:tabs>
          <w:tab w:val="num" w:pos="452"/>
        </w:tabs>
        <w:ind w:left="4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1">
      <w:start w:val="1"/>
      <w:numFmt w:val="bullet"/>
      <w:lvlText w:val="•"/>
      <w:lvlJc w:val="left"/>
      <w:pPr>
        <w:tabs>
          <w:tab w:val="num" w:pos="632"/>
        </w:tabs>
        <w:ind w:left="6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2">
      <w:start w:val="1"/>
      <w:numFmt w:val="bullet"/>
      <w:lvlText w:val="•"/>
      <w:lvlJc w:val="left"/>
      <w:pPr>
        <w:tabs>
          <w:tab w:val="num" w:pos="812"/>
        </w:tabs>
        <w:ind w:left="8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3">
      <w:start w:val="1"/>
      <w:numFmt w:val="bullet"/>
      <w:lvlText w:val="•"/>
      <w:lvlJc w:val="left"/>
      <w:pPr>
        <w:tabs>
          <w:tab w:val="num" w:pos="992"/>
        </w:tabs>
        <w:ind w:left="9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4">
      <w:start w:val="1"/>
      <w:numFmt w:val="bullet"/>
      <w:lvlText w:val="•"/>
      <w:lvlJc w:val="left"/>
      <w:pPr>
        <w:tabs>
          <w:tab w:val="num" w:pos="1172"/>
        </w:tabs>
        <w:ind w:left="117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5">
      <w:start w:val="1"/>
      <w:numFmt w:val="bullet"/>
      <w:lvlText w:val="•"/>
      <w:lvlJc w:val="left"/>
      <w:pPr>
        <w:tabs>
          <w:tab w:val="num" w:pos="1352"/>
        </w:tabs>
        <w:ind w:left="13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6">
      <w:start w:val="1"/>
      <w:numFmt w:val="bullet"/>
      <w:lvlText w:val="•"/>
      <w:lvlJc w:val="left"/>
      <w:pPr>
        <w:tabs>
          <w:tab w:val="num" w:pos="1532"/>
        </w:tabs>
        <w:ind w:left="15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7">
      <w:start w:val="1"/>
      <w:numFmt w:val="bullet"/>
      <w:lvlText w:val="•"/>
      <w:lvlJc w:val="left"/>
      <w:pPr>
        <w:tabs>
          <w:tab w:val="num" w:pos="1712"/>
        </w:tabs>
        <w:ind w:left="17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8">
      <w:start w:val="1"/>
      <w:numFmt w:val="bullet"/>
      <w:lvlText w:val="•"/>
      <w:lvlJc w:val="left"/>
      <w:pPr>
        <w:tabs>
          <w:tab w:val="num" w:pos="1892"/>
        </w:tabs>
        <w:ind w:left="18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abstractNum>
  <w:abstractNum w:abstractNumId="18">
    <w:nsid w:val="47E60BE0"/>
    <w:multiLevelType w:val="multilevel"/>
    <w:tmpl w:val="7A6862CE"/>
    <w:lvl w:ilvl="0">
      <w:start w:val="1"/>
      <w:numFmt w:val="decimal"/>
      <w:lvlText w:val="%1."/>
      <w:lvlJc w:val="left"/>
      <w:pPr>
        <w:tabs>
          <w:tab w:val="num" w:pos="327"/>
        </w:tabs>
        <w:ind w:left="3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lvlText w:val="%2."/>
      <w:lvlJc w:val="left"/>
      <w:pPr>
        <w:tabs>
          <w:tab w:val="num" w:pos="687"/>
        </w:tabs>
        <w:ind w:left="6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lvlText w:val="%3."/>
      <w:lvlJc w:val="left"/>
      <w:pPr>
        <w:tabs>
          <w:tab w:val="num" w:pos="1047"/>
        </w:tabs>
        <w:ind w:left="10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lvlText w:val="%4."/>
      <w:lvlJc w:val="left"/>
      <w:pPr>
        <w:tabs>
          <w:tab w:val="num" w:pos="1407"/>
        </w:tabs>
        <w:ind w:left="14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lvlText w:val="%5."/>
      <w:lvlJc w:val="left"/>
      <w:pPr>
        <w:tabs>
          <w:tab w:val="num" w:pos="1767"/>
        </w:tabs>
        <w:ind w:left="176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lvlText w:val="%6."/>
      <w:lvlJc w:val="left"/>
      <w:pPr>
        <w:tabs>
          <w:tab w:val="num" w:pos="2127"/>
        </w:tabs>
        <w:ind w:left="21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lvlText w:val="%7."/>
      <w:lvlJc w:val="left"/>
      <w:pPr>
        <w:tabs>
          <w:tab w:val="num" w:pos="2487"/>
        </w:tabs>
        <w:ind w:left="24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lvlText w:val="%8."/>
      <w:lvlJc w:val="left"/>
      <w:pPr>
        <w:tabs>
          <w:tab w:val="num" w:pos="2847"/>
        </w:tabs>
        <w:ind w:left="28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lvlText w:val="%9."/>
      <w:lvlJc w:val="left"/>
      <w:pPr>
        <w:tabs>
          <w:tab w:val="num" w:pos="3207"/>
        </w:tabs>
        <w:ind w:left="32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616C3C24"/>
    <w:multiLevelType w:val="multilevel"/>
    <w:tmpl w:val="F23E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033E52"/>
    <w:multiLevelType w:val="multilevel"/>
    <w:tmpl w:val="1AC66D1C"/>
    <w:lvl w:ilvl="0">
      <w:start w:val="1"/>
      <w:numFmt w:val="bullet"/>
      <w:lvlText w:val="•"/>
      <w:lvlJc w:val="left"/>
      <w:pPr>
        <w:tabs>
          <w:tab w:val="num" w:pos="452"/>
        </w:tabs>
        <w:ind w:left="4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1">
      <w:start w:val="1"/>
      <w:numFmt w:val="bullet"/>
      <w:lvlText w:val="•"/>
      <w:lvlJc w:val="left"/>
      <w:pPr>
        <w:tabs>
          <w:tab w:val="num" w:pos="632"/>
        </w:tabs>
        <w:ind w:left="6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2">
      <w:start w:val="1"/>
      <w:numFmt w:val="bullet"/>
      <w:lvlText w:val="•"/>
      <w:lvlJc w:val="left"/>
      <w:pPr>
        <w:tabs>
          <w:tab w:val="num" w:pos="812"/>
        </w:tabs>
        <w:ind w:left="8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3">
      <w:start w:val="1"/>
      <w:numFmt w:val="bullet"/>
      <w:lvlText w:val="•"/>
      <w:lvlJc w:val="left"/>
      <w:pPr>
        <w:tabs>
          <w:tab w:val="num" w:pos="992"/>
        </w:tabs>
        <w:ind w:left="9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4">
      <w:start w:val="1"/>
      <w:numFmt w:val="bullet"/>
      <w:lvlText w:val="•"/>
      <w:lvlJc w:val="left"/>
      <w:pPr>
        <w:tabs>
          <w:tab w:val="num" w:pos="1172"/>
        </w:tabs>
        <w:ind w:left="117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5">
      <w:start w:val="1"/>
      <w:numFmt w:val="bullet"/>
      <w:lvlText w:val="•"/>
      <w:lvlJc w:val="left"/>
      <w:pPr>
        <w:tabs>
          <w:tab w:val="num" w:pos="1352"/>
        </w:tabs>
        <w:ind w:left="13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6">
      <w:start w:val="1"/>
      <w:numFmt w:val="bullet"/>
      <w:lvlText w:val="•"/>
      <w:lvlJc w:val="left"/>
      <w:pPr>
        <w:tabs>
          <w:tab w:val="num" w:pos="1532"/>
        </w:tabs>
        <w:ind w:left="15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7">
      <w:start w:val="1"/>
      <w:numFmt w:val="bullet"/>
      <w:lvlText w:val="•"/>
      <w:lvlJc w:val="left"/>
      <w:pPr>
        <w:tabs>
          <w:tab w:val="num" w:pos="1712"/>
        </w:tabs>
        <w:ind w:left="17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8">
      <w:start w:val="1"/>
      <w:numFmt w:val="bullet"/>
      <w:lvlText w:val="•"/>
      <w:lvlJc w:val="left"/>
      <w:pPr>
        <w:tabs>
          <w:tab w:val="num" w:pos="1892"/>
        </w:tabs>
        <w:ind w:left="18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abstractNum>
  <w:abstractNum w:abstractNumId="25">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2"/>
  </w:num>
  <w:num w:numId="3">
    <w:abstractNumId w:val="12"/>
  </w:num>
  <w:num w:numId="4">
    <w:abstractNumId w:val="16"/>
  </w:num>
  <w:num w:numId="5">
    <w:abstractNumId w:val="26"/>
  </w:num>
  <w:num w:numId="6">
    <w:abstractNumId w:val="14"/>
  </w:num>
  <w:num w:numId="7">
    <w:abstractNumId w:val="27"/>
  </w:num>
  <w:num w:numId="8">
    <w:abstractNumId w:val="2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20"/>
  </w:num>
  <w:num w:numId="21">
    <w:abstractNumId w:val="15"/>
  </w:num>
  <w:num w:numId="22">
    <w:abstractNumId w:val="11"/>
  </w:num>
  <w:num w:numId="23">
    <w:abstractNumId w:val="13"/>
  </w:num>
  <w:num w:numId="24">
    <w:abstractNumId w:val="21"/>
  </w:num>
  <w:num w:numId="25">
    <w:abstractNumId w:val="18"/>
  </w:num>
  <w:num w:numId="26">
    <w:abstractNumId w:val="10"/>
  </w:num>
  <w:num w:numId="27">
    <w:abstractNumId w:val="24"/>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03"/>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5181"/>
    <w:rsid w:val="00005A60"/>
    <w:rsid w:val="00023457"/>
    <w:rsid w:val="00031F9C"/>
    <w:rsid w:val="0003512F"/>
    <w:rsid w:val="00035EA5"/>
    <w:rsid w:val="0004326E"/>
    <w:rsid w:val="00050027"/>
    <w:rsid w:val="0007056F"/>
    <w:rsid w:val="00072E98"/>
    <w:rsid w:val="0008580D"/>
    <w:rsid w:val="0008674B"/>
    <w:rsid w:val="0008718F"/>
    <w:rsid w:val="00093E7D"/>
    <w:rsid w:val="00094B16"/>
    <w:rsid w:val="0009716A"/>
    <w:rsid w:val="000A37CD"/>
    <w:rsid w:val="000A3F49"/>
    <w:rsid w:val="000A525E"/>
    <w:rsid w:val="000B0848"/>
    <w:rsid w:val="000B504C"/>
    <w:rsid w:val="000B76F5"/>
    <w:rsid w:val="000B7B23"/>
    <w:rsid w:val="000C54F8"/>
    <w:rsid w:val="000C5E36"/>
    <w:rsid w:val="000C69A1"/>
    <w:rsid w:val="000D3779"/>
    <w:rsid w:val="000F546C"/>
    <w:rsid w:val="000F5642"/>
    <w:rsid w:val="001046A9"/>
    <w:rsid w:val="00110739"/>
    <w:rsid w:val="00113D47"/>
    <w:rsid w:val="001141E2"/>
    <w:rsid w:val="0012195F"/>
    <w:rsid w:val="00124EA0"/>
    <w:rsid w:val="001253EC"/>
    <w:rsid w:val="001261D7"/>
    <w:rsid w:val="00130C68"/>
    <w:rsid w:val="001313F9"/>
    <w:rsid w:val="001339D4"/>
    <w:rsid w:val="0013546D"/>
    <w:rsid w:val="001360F1"/>
    <w:rsid w:val="0015488C"/>
    <w:rsid w:val="001613F6"/>
    <w:rsid w:val="0016745B"/>
    <w:rsid w:val="0018309C"/>
    <w:rsid w:val="00190F49"/>
    <w:rsid w:val="00196952"/>
    <w:rsid w:val="001A4F4B"/>
    <w:rsid w:val="001B25B3"/>
    <w:rsid w:val="001B447D"/>
    <w:rsid w:val="001C2323"/>
    <w:rsid w:val="001C7F45"/>
    <w:rsid w:val="001D2360"/>
    <w:rsid w:val="001D5FD6"/>
    <w:rsid w:val="001F0ADE"/>
    <w:rsid w:val="001F3994"/>
    <w:rsid w:val="00207628"/>
    <w:rsid w:val="00222BBE"/>
    <w:rsid w:val="002310ED"/>
    <w:rsid w:val="00231425"/>
    <w:rsid w:val="00236F83"/>
    <w:rsid w:val="00242BAF"/>
    <w:rsid w:val="002443F2"/>
    <w:rsid w:val="00245D9D"/>
    <w:rsid w:val="00251E63"/>
    <w:rsid w:val="002558C7"/>
    <w:rsid w:val="0025630B"/>
    <w:rsid w:val="002640A5"/>
    <w:rsid w:val="00264E3D"/>
    <w:rsid w:val="00282955"/>
    <w:rsid w:val="00285587"/>
    <w:rsid w:val="002A4E4D"/>
    <w:rsid w:val="002B0430"/>
    <w:rsid w:val="002B5BD4"/>
    <w:rsid w:val="002C1829"/>
    <w:rsid w:val="002D1F9C"/>
    <w:rsid w:val="002D220A"/>
    <w:rsid w:val="002D653E"/>
    <w:rsid w:val="002E5857"/>
    <w:rsid w:val="002E5FD6"/>
    <w:rsid w:val="002F0563"/>
    <w:rsid w:val="002F362E"/>
    <w:rsid w:val="002F38D4"/>
    <w:rsid w:val="00303334"/>
    <w:rsid w:val="00306B79"/>
    <w:rsid w:val="00311727"/>
    <w:rsid w:val="00313DAC"/>
    <w:rsid w:val="003252AF"/>
    <w:rsid w:val="00325A79"/>
    <w:rsid w:val="00334B6B"/>
    <w:rsid w:val="003375CA"/>
    <w:rsid w:val="00347701"/>
    <w:rsid w:val="003520A6"/>
    <w:rsid w:val="00353E53"/>
    <w:rsid w:val="003548DB"/>
    <w:rsid w:val="00375C47"/>
    <w:rsid w:val="00380948"/>
    <w:rsid w:val="003873E3"/>
    <w:rsid w:val="003902E6"/>
    <w:rsid w:val="00394FA5"/>
    <w:rsid w:val="00396439"/>
    <w:rsid w:val="003A18DC"/>
    <w:rsid w:val="003A2B9D"/>
    <w:rsid w:val="003A5C01"/>
    <w:rsid w:val="003B2A36"/>
    <w:rsid w:val="003B320E"/>
    <w:rsid w:val="003C4DC5"/>
    <w:rsid w:val="003D4D62"/>
    <w:rsid w:val="003E467B"/>
    <w:rsid w:val="003E478B"/>
    <w:rsid w:val="003E6942"/>
    <w:rsid w:val="003F2F42"/>
    <w:rsid w:val="003F7B10"/>
    <w:rsid w:val="00401833"/>
    <w:rsid w:val="004051DC"/>
    <w:rsid w:val="00411901"/>
    <w:rsid w:val="004135C8"/>
    <w:rsid w:val="00421F64"/>
    <w:rsid w:val="004224BB"/>
    <w:rsid w:val="00422C88"/>
    <w:rsid w:val="00425BFA"/>
    <w:rsid w:val="00427026"/>
    <w:rsid w:val="0043564A"/>
    <w:rsid w:val="00447443"/>
    <w:rsid w:val="00454B16"/>
    <w:rsid w:val="0045767E"/>
    <w:rsid w:val="004603AA"/>
    <w:rsid w:val="004639D6"/>
    <w:rsid w:val="0046597B"/>
    <w:rsid w:val="00467F01"/>
    <w:rsid w:val="004731D9"/>
    <w:rsid w:val="00477AD4"/>
    <w:rsid w:val="00481154"/>
    <w:rsid w:val="00482440"/>
    <w:rsid w:val="004840CA"/>
    <w:rsid w:val="004918F6"/>
    <w:rsid w:val="0049656E"/>
    <w:rsid w:val="004969CB"/>
    <w:rsid w:val="0049793E"/>
    <w:rsid w:val="004A276D"/>
    <w:rsid w:val="004A52D6"/>
    <w:rsid w:val="004B38B3"/>
    <w:rsid w:val="004C63A0"/>
    <w:rsid w:val="004D554A"/>
    <w:rsid w:val="004F011F"/>
    <w:rsid w:val="00501F49"/>
    <w:rsid w:val="00517149"/>
    <w:rsid w:val="00521CE4"/>
    <w:rsid w:val="00524F2E"/>
    <w:rsid w:val="0054189A"/>
    <w:rsid w:val="005427F0"/>
    <w:rsid w:val="00543ACF"/>
    <w:rsid w:val="00565C56"/>
    <w:rsid w:val="005712BF"/>
    <w:rsid w:val="00586297"/>
    <w:rsid w:val="00586838"/>
    <w:rsid w:val="005912D6"/>
    <w:rsid w:val="005922F3"/>
    <w:rsid w:val="005928E2"/>
    <w:rsid w:val="00593922"/>
    <w:rsid w:val="005A01B9"/>
    <w:rsid w:val="005A1879"/>
    <w:rsid w:val="005B1EA8"/>
    <w:rsid w:val="005B462F"/>
    <w:rsid w:val="005B693E"/>
    <w:rsid w:val="005B7948"/>
    <w:rsid w:val="005C05E0"/>
    <w:rsid w:val="005C3BFF"/>
    <w:rsid w:val="005D0AD9"/>
    <w:rsid w:val="005D3CAF"/>
    <w:rsid w:val="005F7D93"/>
    <w:rsid w:val="00601A7E"/>
    <w:rsid w:val="00610FE5"/>
    <w:rsid w:val="00615D97"/>
    <w:rsid w:val="00616E3B"/>
    <w:rsid w:val="006265B0"/>
    <w:rsid w:val="00631FAE"/>
    <w:rsid w:val="006320D5"/>
    <w:rsid w:val="006359AF"/>
    <w:rsid w:val="00641940"/>
    <w:rsid w:val="006425C4"/>
    <w:rsid w:val="00645094"/>
    <w:rsid w:val="006454BC"/>
    <w:rsid w:val="00646838"/>
    <w:rsid w:val="0065240C"/>
    <w:rsid w:val="006540DC"/>
    <w:rsid w:val="006549D2"/>
    <w:rsid w:val="006629BD"/>
    <w:rsid w:val="00672F63"/>
    <w:rsid w:val="00683A88"/>
    <w:rsid w:val="00684E18"/>
    <w:rsid w:val="0069755F"/>
    <w:rsid w:val="006A2CBF"/>
    <w:rsid w:val="006A5945"/>
    <w:rsid w:val="006A70E6"/>
    <w:rsid w:val="006B3BD9"/>
    <w:rsid w:val="006B5C75"/>
    <w:rsid w:val="006B629D"/>
    <w:rsid w:val="006B74F8"/>
    <w:rsid w:val="006C457B"/>
    <w:rsid w:val="006C6302"/>
    <w:rsid w:val="006D30C4"/>
    <w:rsid w:val="006D3D2A"/>
    <w:rsid w:val="006D3F93"/>
    <w:rsid w:val="006D492C"/>
    <w:rsid w:val="006D546F"/>
    <w:rsid w:val="006E01B4"/>
    <w:rsid w:val="006E03C9"/>
    <w:rsid w:val="006E09E6"/>
    <w:rsid w:val="006E7E4B"/>
    <w:rsid w:val="006F0A91"/>
    <w:rsid w:val="006F13C5"/>
    <w:rsid w:val="006F3412"/>
    <w:rsid w:val="00700114"/>
    <w:rsid w:val="007005DB"/>
    <w:rsid w:val="00703607"/>
    <w:rsid w:val="00704571"/>
    <w:rsid w:val="007059E0"/>
    <w:rsid w:val="0071203C"/>
    <w:rsid w:val="00720189"/>
    <w:rsid w:val="00723B68"/>
    <w:rsid w:val="0072413B"/>
    <w:rsid w:val="007254F4"/>
    <w:rsid w:val="00730059"/>
    <w:rsid w:val="00731A7B"/>
    <w:rsid w:val="00732989"/>
    <w:rsid w:val="0073300F"/>
    <w:rsid w:val="0073488F"/>
    <w:rsid w:val="00737320"/>
    <w:rsid w:val="00744B8F"/>
    <w:rsid w:val="00745724"/>
    <w:rsid w:val="0075587A"/>
    <w:rsid w:val="00756E9F"/>
    <w:rsid w:val="00762A87"/>
    <w:rsid w:val="00762B98"/>
    <w:rsid w:val="007716E3"/>
    <w:rsid w:val="007810C0"/>
    <w:rsid w:val="007863FC"/>
    <w:rsid w:val="00794E5A"/>
    <w:rsid w:val="007A45A1"/>
    <w:rsid w:val="007B39AF"/>
    <w:rsid w:val="007B4BA3"/>
    <w:rsid w:val="007C548E"/>
    <w:rsid w:val="007C552A"/>
    <w:rsid w:val="007C70E0"/>
    <w:rsid w:val="007D2883"/>
    <w:rsid w:val="007D43E7"/>
    <w:rsid w:val="007D485C"/>
    <w:rsid w:val="007F229D"/>
    <w:rsid w:val="00801E3C"/>
    <w:rsid w:val="008167A1"/>
    <w:rsid w:val="00830CAF"/>
    <w:rsid w:val="00831370"/>
    <w:rsid w:val="00837E62"/>
    <w:rsid w:val="00844A8B"/>
    <w:rsid w:val="00847706"/>
    <w:rsid w:val="00852751"/>
    <w:rsid w:val="00855B27"/>
    <w:rsid w:val="00862483"/>
    <w:rsid w:val="008640FF"/>
    <w:rsid w:val="008657E3"/>
    <w:rsid w:val="00867102"/>
    <w:rsid w:val="00874518"/>
    <w:rsid w:val="008803E7"/>
    <w:rsid w:val="00883B5A"/>
    <w:rsid w:val="0088499C"/>
    <w:rsid w:val="00895B3E"/>
    <w:rsid w:val="008A3CDA"/>
    <w:rsid w:val="008A7E94"/>
    <w:rsid w:val="008B09BE"/>
    <w:rsid w:val="008B0EB0"/>
    <w:rsid w:val="008B1861"/>
    <w:rsid w:val="008C045B"/>
    <w:rsid w:val="008C5CFF"/>
    <w:rsid w:val="008D7A8A"/>
    <w:rsid w:val="008E5E01"/>
    <w:rsid w:val="008E62D1"/>
    <w:rsid w:val="008E690D"/>
    <w:rsid w:val="008F2444"/>
    <w:rsid w:val="008F280A"/>
    <w:rsid w:val="008F6FBA"/>
    <w:rsid w:val="00910607"/>
    <w:rsid w:val="00910B4E"/>
    <w:rsid w:val="0091104A"/>
    <w:rsid w:val="0091160F"/>
    <w:rsid w:val="0092592E"/>
    <w:rsid w:val="0093037B"/>
    <w:rsid w:val="00932C8D"/>
    <w:rsid w:val="00934196"/>
    <w:rsid w:val="00940626"/>
    <w:rsid w:val="009446C4"/>
    <w:rsid w:val="00946BA9"/>
    <w:rsid w:val="00950F5B"/>
    <w:rsid w:val="009541D9"/>
    <w:rsid w:val="00956E0D"/>
    <w:rsid w:val="0096105E"/>
    <w:rsid w:val="009613D9"/>
    <w:rsid w:val="00963328"/>
    <w:rsid w:val="0096561C"/>
    <w:rsid w:val="009710AF"/>
    <w:rsid w:val="009747B5"/>
    <w:rsid w:val="00975D70"/>
    <w:rsid w:val="00993E9B"/>
    <w:rsid w:val="009A1C8F"/>
    <w:rsid w:val="009A2CF2"/>
    <w:rsid w:val="009A4490"/>
    <w:rsid w:val="009C23FF"/>
    <w:rsid w:val="009C3106"/>
    <w:rsid w:val="009D03AF"/>
    <w:rsid w:val="009D288B"/>
    <w:rsid w:val="009E4098"/>
    <w:rsid w:val="009E4D46"/>
    <w:rsid w:val="009F06D9"/>
    <w:rsid w:val="009F0C74"/>
    <w:rsid w:val="00A00679"/>
    <w:rsid w:val="00A23BE9"/>
    <w:rsid w:val="00A25462"/>
    <w:rsid w:val="00A25F46"/>
    <w:rsid w:val="00A31F34"/>
    <w:rsid w:val="00A37EB6"/>
    <w:rsid w:val="00A50852"/>
    <w:rsid w:val="00A53707"/>
    <w:rsid w:val="00A645F2"/>
    <w:rsid w:val="00A67533"/>
    <w:rsid w:val="00A6757D"/>
    <w:rsid w:val="00A679ED"/>
    <w:rsid w:val="00A67D19"/>
    <w:rsid w:val="00A75E4E"/>
    <w:rsid w:val="00A80378"/>
    <w:rsid w:val="00A8093F"/>
    <w:rsid w:val="00A85151"/>
    <w:rsid w:val="00A86FAE"/>
    <w:rsid w:val="00A961A3"/>
    <w:rsid w:val="00A968F1"/>
    <w:rsid w:val="00AA06CB"/>
    <w:rsid w:val="00AA3CD8"/>
    <w:rsid w:val="00AB133F"/>
    <w:rsid w:val="00AB1BF2"/>
    <w:rsid w:val="00AB1D4D"/>
    <w:rsid w:val="00AB3973"/>
    <w:rsid w:val="00AC077F"/>
    <w:rsid w:val="00AC2340"/>
    <w:rsid w:val="00AC353A"/>
    <w:rsid w:val="00AC3C9D"/>
    <w:rsid w:val="00AC6E5A"/>
    <w:rsid w:val="00AD2212"/>
    <w:rsid w:val="00AD3A26"/>
    <w:rsid w:val="00AD61DF"/>
    <w:rsid w:val="00AE1CE7"/>
    <w:rsid w:val="00AF1D3F"/>
    <w:rsid w:val="00AF4BD1"/>
    <w:rsid w:val="00B077AE"/>
    <w:rsid w:val="00B15E5D"/>
    <w:rsid w:val="00B16F3B"/>
    <w:rsid w:val="00B216B4"/>
    <w:rsid w:val="00B2468F"/>
    <w:rsid w:val="00B46D7F"/>
    <w:rsid w:val="00B56D62"/>
    <w:rsid w:val="00B60A0E"/>
    <w:rsid w:val="00B62166"/>
    <w:rsid w:val="00B62D50"/>
    <w:rsid w:val="00B6434A"/>
    <w:rsid w:val="00B64F23"/>
    <w:rsid w:val="00B83537"/>
    <w:rsid w:val="00BB264F"/>
    <w:rsid w:val="00BB4EBE"/>
    <w:rsid w:val="00BC08FD"/>
    <w:rsid w:val="00BC1FD0"/>
    <w:rsid w:val="00BC6B81"/>
    <w:rsid w:val="00BD3952"/>
    <w:rsid w:val="00BD44B8"/>
    <w:rsid w:val="00BD5EC8"/>
    <w:rsid w:val="00BE085C"/>
    <w:rsid w:val="00BE31DE"/>
    <w:rsid w:val="00BE3904"/>
    <w:rsid w:val="00BE3A7E"/>
    <w:rsid w:val="00BF12FD"/>
    <w:rsid w:val="00BF5042"/>
    <w:rsid w:val="00C00742"/>
    <w:rsid w:val="00C0437A"/>
    <w:rsid w:val="00C06A3F"/>
    <w:rsid w:val="00C10858"/>
    <w:rsid w:val="00C11EA1"/>
    <w:rsid w:val="00C301FB"/>
    <w:rsid w:val="00C363A8"/>
    <w:rsid w:val="00C37750"/>
    <w:rsid w:val="00C411A6"/>
    <w:rsid w:val="00C42CFB"/>
    <w:rsid w:val="00C43F08"/>
    <w:rsid w:val="00C460CF"/>
    <w:rsid w:val="00C5639D"/>
    <w:rsid w:val="00C56940"/>
    <w:rsid w:val="00C5772D"/>
    <w:rsid w:val="00C60DE3"/>
    <w:rsid w:val="00C72A0E"/>
    <w:rsid w:val="00C77680"/>
    <w:rsid w:val="00C936FD"/>
    <w:rsid w:val="00C972BC"/>
    <w:rsid w:val="00CA183E"/>
    <w:rsid w:val="00CA24B4"/>
    <w:rsid w:val="00CA3582"/>
    <w:rsid w:val="00CA61A4"/>
    <w:rsid w:val="00CB1171"/>
    <w:rsid w:val="00CB11A6"/>
    <w:rsid w:val="00CB678F"/>
    <w:rsid w:val="00CC5C30"/>
    <w:rsid w:val="00CD2A66"/>
    <w:rsid w:val="00CE3F31"/>
    <w:rsid w:val="00CF4F45"/>
    <w:rsid w:val="00CF5E42"/>
    <w:rsid w:val="00D00676"/>
    <w:rsid w:val="00D12CBA"/>
    <w:rsid w:val="00D22CE0"/>
    <w:rsid w:val="00D23BC1"/>
    <w:rsid w:val="00D34FAA"/>
    <w:rsid w:val="00D36493"/>
    <w:rsid w:val="00D37112"/>
    <w:rsid w:val="00D4603A"/>
    <w:rsid w:val="00D47FBB"/>
    <w:rsid w:val="00D52C45"/>
    <w:rsid w:val="00D532E9"/>
    <w:rsid w:val="00D60456"/>
    <w:rsid w:val="00D61ACA"/>
    <w:rsid w:val="00D72AE2"/>
    <w:rsid w:val="00D730AB"/>
    <w:rsid w:val="00D7561B"/>
    <w:rsid w:val="00D92C6F"/>
    <w:rsid w:val="00D93C4D"/>
    <w:rsid w:val="00D93E69"/>
    <w:rsid w:val="00DB249F"/>
    <w:rsid w:val="00DB3DDA"/>
    <w:rsid w:val="00DB415E"/>
    <w:rsid w:val="00DB5B27"/>
    <w:rsid w:val="00DB6570"/>
    <w:rsid w:val="00DB66BD"/>
    <w:rsid w:val="00DB7B94"/>
    <w:rsid w:val="00DC0670"/>
    <w:rsid w:val="00DC3094"/>
    <w:rsid w:val="00DC46E4"/>
    <w:rsid w:val="00DC701D"/>
    <w:rsid w:val="00DD1974"/>
    <w:rsid w:val="00DD663C"/>
    <w:rsid w:val="00DE4778"/>
    <w:rsid w:val="00DF0CED"/>
    <w:rsid w:val="00DF1281"/>
    <w:rsid w:val="00DF50C7"/>
    <w:rsid w:val="00E0151F"/>
    <w:rsid w:val="00E017EE"/>
    <w:rsid w:val="00E038F4"/>
    <w:rsid w:val="00E05741"/>
    <w:rsid w:val="00E11AFC"/>
    <w:rsid w:val="00E24F85"/>
    <w:rsid w:val="00E32ECC"/>
    <w:rsid w:val="00E351BF"/>
    <w:rsid w:val="00E361A5"/>
    <w:rsid w:val="00E37CA4"/>
    <w:rsid w:val="00E42C4F"/>
    <w:rsid w:val="00E4330C"/>
    <w:rsid w:val="00E51A70"/>
    <w:rsid w:val="00E52C0E"/>
    <w:rsid w:val="00E53468"/>
    <w:rsid w:val="00E6412D"/>
    <w:rsid w:val="00E6481C"/>
    <w:rsid w:val="00E661F9"/>
    <w:rsid w:val="00E93090"/>
    <w:rsid w:val="00E9344B"/>
    <w:rsid w:val="00E97D35"/>
    <w:rsid w:val="00EA520C"/>
    <w:rsid w:val="00EB25E8"/>
    <w:rsid w:val="00EC21D1"/>
    <w:rsid w:val="00EC226E"/>
    <w:rsid w:val="00ED1046"/>
    <w:rsid w:val="00ED1988"/>
    <w:rsid w:val="00EE01CD"/>
    <w:rsid w:val="00EE3E2F"/>
    <w:rsid w:val="00EE6056"/>
    <w:rsid w:val="00EF109B"/>
    <w:rsid w:val="00EF339C"/>
    <w:rsid w:val="00EF597C"/>
    <w:rsid w:val="00F00C0C"/>
    <w:rsid w:val="00F02239"/>
    <w:rsid w:val="00F03BDB"/>
    <w:rsid w:val="00F04C23"/>
    <w:rsid w:val="00F06393"/>
    <w:rsid w:val="00F105BE"/>
    <w:rsid w:val="00F1457C"/>
    <w:rsid w:val="00F20C26"/>
    <w:rsid w:val="00F21652"/>
    <w:rsid w:val="00F2448E"/>
    <w:rsid w:val="00F272AD"/>
    <w:rsid w:val="00F323C9"/>
    <w:rsid w:val="00F32431"/>
    <w:rsid w:val="00F346FA"/>
    <w:rsid w:val="00F43973"/>
    <w:rsid w:val="00F43E2B"/>
    <w:rsid w:val="00F44A51"/>
    <w:rsid w:val="00F44E6A"/>
    <w:rsid w:val="00F47D00"/>
    <w:rsid w:val="00F51544"/>
    <w:rsid w:val="00F55129"/>
    <w:rsid w:val="00F578DE"/>
    <w:rsid w:val="00F622BD"/>
    <w:rsid w:val="00F62473"/>
    <w:rsid w:val="00F63558"/>
    <w:rsid w:val="00F702FA"/>
    <w:rsid w:val="00F7723E"/>
    <w:rsid w:val="00F917DF"/>
    <w:rsid w:val="00F933C4"/>
    <w:rsid w:val="00F941EB"/>
    <w:rsid w:val="00F94B1B"/>
    <w:rsid w:val="00F9559E"/>
    <w:rsid w:val="00FA15D7"/>
    <w:rsid w:val="00FA206A"/>
    <w:rsid w:val="00FA41B5"/>
    <w:rsid w:val="00FA4DA4"/>
    <w:rsid w:val="00FA60FD"/>
    <w:rsid w:val="00FB0D2B"/>
    <w:rsid w:val="00FB1F74"/>
    <w:rsid w:val="00FC6B5A"/>
    <w:rsid w:val="00FC74DB"/>
    <w:rsid w:val="00FD47AA"/>
    <w:rsid w:val="00FE3C89"/>
    <w:rsid w:val="00FE4358"/>
    <w:rsid w:val="00FE45F1"/>
    <w:rsid w:val="00FE7AEC"/>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qFormat/>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paragraph" w:styleId="HTMLPreformatted">
    <w:name w:val="HTML Preformatted"/>
    <w:basedOn w:val="Normal"/>
    <w:link w:val="HTMLPreformattedChar"/>
    <w:uiPriority w:val="99"/>
    <w:unhideWhenUsed/>
    <w:rsid w:val="00C56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5639D"/>
    <w:rPr>
      <w:rFonts w:ascii="Courier New" w:eastAsia="Times New Roman" w:hAnsi="Courier New" w:cs="Courier New"/>
    </w:rPr>
  </w:style>
  <w:style w:type="paragraph" w:customStyle="1" w:styleId="article-txt">
    <w:name w:val="article-txt"/>
    <w:basedOn w:val="Normal"/>
    <w:rsid w:val="00684E18"/>
    <w:pPr>
      <w:spacing w:before="100" w:beforeAutospacing="1" w:after="100" w:afterAutospacing="1" w:line="240" w:lineRule="auto"/>
    </w:pPr>
    <w:rPr>
      <w:rFonts w:ascii="Times New Roman" w:eastAsia="Times New Roman" w:hAnsi="Times New Roman"/>
      <w:sz w:val="24"/>
      <w:szCs w:val="24"/>
    </w:rPr>
  </w:style>
  <w:style w:type="character" w:customStyle="1" w:styleId="Contention2Char">
    <w:name w:val="Contention 2 Char"/>
    <w:basedOn w:val="DefaultParagraphFont"/>
    <w:link w:val="Contention2"/>
    <w:locked/>
    <w:rsid w:val="009A1C8F"/>
    <w:rPr>
      <w:rFonts w:ascii="Times New Roman" w:eastAsia="Times New Roman" w:hAnsi="Times New Roman"/>
      <w:b/>
      <w:bCs/>
      <w:color w:val="000000"/>
      <w:lang w:eastAsia="fr-FR"/>
    </w:rPr>
  </w:style>
  <w:style w:type="paragraph" w:customStyle="1" w:styleId="Body">
    <w:name w:val="Body"/>
    <w:rsid w:val="003B2A36"/>
    <w:pPr>
      <w:pBdr>
        <w:top w:val="nil"/>
        <w:left w:val="nil"/>
        <w:bottom w:val="nil"/>
        <w:right w:val="nil"/>
        <w:between w:val="nil"/>
        <w:bar w:val="nil"/>
      </w:pBdr>
      <w:spacing w:after="200" w:line="276" w:lineRule="auto"/>
    </w:pPr>
    <w:rPr>
      <w:rFonts w:eastAsia="Calibri" w:cs="Calibri"/>
      <w:color w:val="000000"/>
      <w:sz w:val="22"/>
      <w:szCs w:val="22"/>
      <w:u w:color="000000"/>
      <w:bdr w:val="nil"/>
    </w:rPr>
  </w:style>
  <w:style w:type="character" w:customStyle="1" w:styleId="Link0">
    <w:name w:val="Link"/>
    <w:rsid w:val="003B2A36"/>
    <w:rPr>
      <w:color w:val="7F7F7F"/>
      <w:u w:val="single" w:color="7F7F7F"/>
    </w:rPr>
  </w:style>
  <w:style w:type="character" w:customStyle="1" w:styleId="Hyperlink0">
    <w:name w:val="Hyperlink.0"/>
    <w:basedOn w:val="Link0"/>
    <w:rsid w:val="003B2A36"/>
    <w:rPr>
      <w:color w:val="000000"/>
      <w:u w:val="none" w:color="7F7F7F"/>
    </w:rPr>
  </w:style>
  <w:style w:type="numbering" w:customStyle="1" w:styleId="Numbered">
    <w:name w:val="Numbered"/>
    <w:rsid w:val="003B2A36"/>
    <w:pPr>
      <w:numPr>
        <w:numId w:val="26"/>
      </w:numPr>
    </w:pPr>
  </w:style>
  <w:style w:type="character" w:customStyle="1" w:styleId="Hyperlink1">
    <w:name w:val="Hyperlink.1"/>
    <w:basedOn w:val="Link0"/>
    <w:rsid w:val="003B2A36"/>
    <w:rPr>
      <w:i/>
      <w:iCs/>
      <w:color w:val="000000"/>
      <w:u w:val="none" w:color="7F7F7F"/>
    </w:rPr>
  </w:style>
  <w:style w:type="numbering" w:customStyle="1" w:styleId="Bullet">
    <w:name w:val="Bullet"/>
    <w:rsid w:val="003B2A36"/>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715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983763">
      <w:bodyDiv w:val="1"/>
      <w:marLeft w:val="0"/>
      <w:marRight w:val="0"/>
      <w:marTop w:val="0"/>
      <w:marBottom w:val="0"/>
      <w:divBdr>
        <w:top w:val="none" w:sz="0" w:space="0" w:color="auto"/>
        <w:left w:val="none" w:sz="0" w:space="0" w:color="auto"/>
        <w:bottom w:val="none" w:sz="0" w:space="0" w:color="auto"/>
        <w:right w:val="none" w:sz="0" w:space="0" w:color="auto"/>
      </w:divBdr>
    </w:div>
    <w:div w:id="68582831">
      <w:bodyDiv w:val="1"/>
      <w:marLeft w:val="0"/>
      <w:marRight w:val="0"/>
      <w:marTop w:val="0"/>
      <w:marBottom w:val="0"/>
      <w:divBdr>
        <w:top w:val="none" w:sz="0" w:space="0" w:color="auto"/>
        <w:left w:val="none" w:sz="0" w:space="0" w:color="auto"/>
        <w:bottom w:val="none" w:sz="0" w:space="0" w:color="auto"/>
        <w:right w:val="none" w:sz="0" w:space="0" w:color="auto"/>
      </w:divBdr>
    </w:div>
    <w:div w:id="9590556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1923858">
      <w:bodyDiv w:val="1"/>
      <w:marLeft w:val="0"/>
      <w:marRight w:val="0"/>
      <w:marTop w:val="0"/>
      <w:marBottom w:val="0"/>
      <w:divBdr>
        <w:top w:val="none" w:sz="0" w:space="0" w:color="auto"/>
        <w:left w:val="none" w:sz="0" w:space="0" w:color="auto"/>
        <w:bottom w:val="none" w:sz="0" w:space="0" w:color="auto"/>
        <w:right w:val="none" w:sz="0" w:space="0" w:color="auto"/>
      </w:divBdr>
    </w:div>
    <w:div w:id="125317957">
      <w:bodyDiv w:val="1"/>
      <w:marLeft w:val="0"/>
      <w:marRight w:val="0"/>
      <w:marTop w:val="0"/>
      <w:marBottom w:val="0"/>
      <w:divBdr>
        <w:top w:val="none" w:sz="0" w:space="0" w:color="auto"/>
        <w:left w:val="none" w:sz="0" w:space="0" w:color="auto"/>
        <w:bottom w:val="none" w:sz="0" w:space="0" w:color="auto"/>
        <w:right w:val="none" w:sz="0" w:space="0" w:color="auto"/>
      </w:divBdr>
    </w:div>
    <w:div w:id="154539120">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5133">
      <w:bodyDiv w:val="1"/>
      <w:marLeft w:val="0"/>
      <w:marRight w:val="0"/>
      <w:marTop w:val="0"/>
      <w:marBottom w:val="0"/>
      <w:divBdr>
        <w:top w:val="none" w:sz="0" w:space="0" w:color="auto"/>
        <w:left w:val="none" w:sz="0" w:space="0" w:color="auto"/>
        <w:bottom w:val="none" w:sz="0" w:space="0" w:color="auto"/>
        <w:right w:val="none" w:sz="0" w:space="0" w:color="auto"/>
      </w:divBdr>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60601891">
      <w:bodyDiv w:val="1"/>
      <w:marLeft w:val="0"/>
      <w:marRight w:val="0"/>
      <w:marTop w:val="0"/>
      <w:marBottom w:val="0"/>
      <w:divBdr>
        <w:top w:val="none" w:sz="0" w:space="0" w:color="auto"/>
        <w:left w:val="none" w:sz="0" w:space="0" w:color="auto"/>
        <w:bottom w:val="none" w:sz="0" w:space="0" w:color="auto"/>
        <w:right w:val="none" w:sz="0" w:space="0" w:color="auto"/>
      </w:divBdr>
    </w:div>
    <w:div w:id="260913610">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78801695">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506931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7222689">
      <w:bodyDiv w:val="1"/>
      <w:marLeft w:val="0"/>
      <w:marRight w:val="0"/>
      <w:marTop w:val="0"/>
      <w:marBottom w:val="0"/>
      <w:divBdr>
        <w:top w:val="none" w:sz="0" w:space="0" w:color="auto"/>
        <w:left w:val="none" w:sz="0" w:space="0" w:color="auto"/>
        <w:bottom w:val="none" w:sz="0" w:space="0" w:color="auto"/>
        <w:right w:val="none" w:sz="0" w:space="0" w:color="auto"/>
      </w:divBdr>
    </w:div>
    <w:div w:id="300041008">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4841794">
      <w:bodyDiv w:val="1"/>
      <w:marLeft w:val="0"/>
      <w:marRight w:val="0"/>
      <w:marTop w:val="0"/>
      <w:marBottom w:val="0"/>
      <w:divBdr>
        <w:top w:val="none" w:sz="0" w:space="0" w:color="auto"/>
        <w:left w:val="none" w:sz="0" w:space="0" w:color="auto"/>
        <w:bottom w:val="none" w:sz="0" w:space="0" w:color="auto"/>
        <w:right w:val="none" w:sz="0" w:space="0" w:color="auto"/>
      </w:divBdr>
    </w:div>
    <w:div w:id="336082459">
      <w:bodyDiv w:val="1"/>
      <w:marLeft w:val="0"/>
      <w:marRight w:val="0"/>
      <w:marTop w:val="0"/>
      <w:marBottom w:val="0"/>
      <w:divBdr>
        <w:top w:val="none" w:sz="0" w:space="0" w:color="auto"/>
        <w:left w:val="none" w:sz="0" w:space="0" w:color="auto"/>
        <w:bottom w:val="none" w:sz="0" w:space="0" w:color="auto"/>
        <w:right w:val="none" w:sz="0" w:space="0" w:color="auto"/>
      </w:divBdr>
    </w:div>
    <w:div w:id="337929153">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2963981">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648504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2206623">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193944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7841371">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541209276">
      <w:bodyDiv w:val="1"/>
      <w:marLeft w:val="0"/>
      <w:marRight w:val="0"/>
      <w:marTop w:val="0"/>
      <w:marBottom w:val="0"/>
      <w:divBdr>
        <w:top w:val="none" w:sz="0" w:space="0" w:color="auto"/>
        <w:left w:val="none" w:sz="0" w:space="0" w:color="auto"/>
        <w:bottom w:val="none" w:sz="0" w:space="0" w:color="auto"/>
        <w:right w:val="none" w:sz="0" w:space="0" w:color="auto"/>
      </w:divBdr>
    </w:div>
    <w:div w:id="561792693">
      <w:bodyDiv w:val="1"/>
      <w:marLeft w:val="0"/>
      <w:marRight w:val="0"/>
      <w:marTop w:val="0"/>
      <w:marBottom w:val="0"/>
      <w:divBdr>
        <w:top w:val="none" w:sz="0" w:space="0" w:color="auto"/>
        <w:left w:val="none" w:sz="0" w:space="0" w:color="auto"/>
        <w:bottom w:val="none" w:sz="0" w:space="0" w:color="auto"/>
        <w:right w:val="none" w:sz="0" w:space="0" w:color="auto"/>
      </w:divBdr>
      <w:divsChild>
        <w:div w:id="1054818426">
          <w:marLeft w:val="0"/>
          <w:marRight w:val="0"/>
          <w:marTop w:val="0"/>
          <w:marBottom w:val="0"/>
          <w:divBdr>
            <w:top w:val="none" w:sz="0" w:space="0" w:color="auto"/>
            <w:left w:val="none" w:sz="0" w:space="0" w:color="auto"/>
            <w:bottom w:val="none" w:sz="0" w:space="0" w:color="auto"/>
            <w:right w:val="none" w:sz="0" w:space="0" w:color="auto"/>
          </w:divBdr>
          <w:divsChild>
            <w:div w:id="784424071">
              <w:marLeft w:val="0"/>
              <w:marRight w:val="0"/>
              <w:marTop w:val="0"/>
              <w:marBottom w:val="0"/>
              <w:divBdr>
                <w:top w:val="none" w:sz="0" w:space="0" w:color="auto"/>
                <w:left w:val="none" w:sz="0" w:space="0" w:color="auto"/>
                <w:bottom w:val="none" w:sz="0" w:space="0" w:color="auto"/>
                <w:right w:val="none" w:sz="0" w:space="0" w:color="auto"/>
              </w:divBdr>
              <w:divsChild>
                <w:div w:id="717246657">
                  <w:marLeft w:val="0"/>
                  <w:marRight w:val="0"/>
                  <w:marTop w:val="0"/>
                  <w:marBottom w:val="0"/>
                  <w:divBdr>
                    <w:top w:val="none" w:sz="0" w:space="0" w:color="auto"/>
                    <w:left w:val="none" w:sz="0" w:space="0" w:color="auto"/>
                    <w:bottom w:val="none" w:sz="0" w:space="0" w:color="auto"/>
                    <w:right w:val="none" w:sz="0" w:space="0" w:color="auto"/>
                  </w:divBdr>
                  <w:divsChild>
                    <w:div w:id="179097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09617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22224345">
      <w:bodyDiv w:val="1"/>
      <w:marLeft w:val="0"/>
      <w:marRight w:val="0"/>
      <w:marTop w:val="0"/>
      <w:marBottom w:val="0"/>
      <w:divBdr>
        <w:top w:val="none" w:sz="0" w:space="0" w:color="auto"/>
        <w:left w:val="none" w:sz="0" w:space="0" w:color="auto"/>
        <w:bottom w:val="none" w:sz="0" w:space="0" w:color="auto"/>
        <w:right w:val="none" w:sz="0" w:space="0" w:color="auto"/>
      </w:divBdr>
    </w:div>
    <w:div w:id="626350919">
      <w:bodyDiv w:val="1"/>
      <w:marLeft w:val="0"/>
      <w:marRight w:val="0"/>
      <w:marTop w:val="0"/>
      <w:marBottom w:val="0"/>
      <w:divBdr>
        <w:top w:val="none" w:sz="0" w:space="0" w:color="auto"/>
        <w:left w:val="none" w:sz="0" w:space="0" w:color="auto"/>
        <w:bottom w:val="none" w:sz="0" w:space="0" w:color="auto"/>
        <w:right w:val="none" w:sz="0" w:space="0" w:color="auto"/>
      </w:divBdr>
    </w:div>
    <w:div w:id="633484035">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5503536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5276230">
      <w:bodyDiv w:val="1"/>
      <w:marLeft w:val="0"/>
      <w:marRight w:val="0"/>
      <w:marTop w:val="0"/>
      <w:marBottom w:val="0"/>
      <w:divBdr>
        <w:top w:val="none" w:sz="0" w:space="0" w:color="auto"/>
        <w:left w:val="none" w:sz="0" w:space="0" w:color="auto"/>
        <w:bottom w:val="none" w:sz="0" w:space="0" w:color="auto"/>
        <w:right w:val="none" w:sz="0" w:space="0" w:color="auto"/>
      </w:divBdr>
    </w:div>
    <w:div w:id="726413486">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329448">
      <w:bodyDiv w:val="1"/>
      <w:marLeft w:val="0"/>
      <w:marRight w:val="0"/>
      <w:marTop w:val="0"/>
      <w:marBottom w:val="0"/>
      <w:divBdr>
        <w:top w:val="none" w:sz="0" w:space="0" w:color="auto"/>
        <w:left w:val="none" w:sz="0" w:space="0" w:color="auto"/>
        <w:bottom w:val="none" w:sz="0" w:space="0" w:color="auto"/>
        <w:right w:val="none" w:sz="0" w:space="0" w:color="auto"/>
      </w:divBdr>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6467470">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759630">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19225625">
      <w:bodyDiv w:val="1"/>
      <w:marLeft w:val="0"/>
      <w:marRight w:val="0"/>
      <w:marTop w:val="0"/>
      <w:marBottom w:val="0"/>
      <w:divBdr>
        <w:top w:val="none" w:sz="0" w:space="0" w:color="auto"/>
        <w:left w:val="none" w:sz="0" w:space="0" w:color="auto"/>
        <w:bottom w:val="none" w:sz="0" w:space="0" w:color="auto"/>
        <w:right w:val="none" w:sz="0" w:space="0" w:color="auto"/>
      </w:divBdr>
    </w:div>
    <w:div w:id="832379606">
      <w:bodyDiv w:val="1"/>
      <w:marLeft w:val="0"/>
      <w:marRight w:val="0"/>
      <w:marTop w:val="0"/>
      <w:marBottom w:val="0"/>
      <w:divBdr>
        <w:top w:val="none" w:sz="0" w:space="0" w:color="auto"/>
        <w:left w:val="none" w:sz="0" w:space="0" w:color="auto"/>
        <w:bottom w:val="none" w:sz="0" w:space="0" w:color="auto"/>
        <w:right w:val="none" w:sz="0" w:space="0" w:color="auto"/>
      </w:divBdr>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7939175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905260429">
      <w:bodyDiv w:val="1"/>
      <w:marLeft w:val="0"/>
      <w:marRight w:val="0"/>
      <w:marTop w:val="0"/>
      <w:marBottom w:val="0"/>
      <w:divBdr>
        <w:top w:val="none" w:sz="0" w:space="0" w:color="auto"/>
        <w:left w:val="none" w:sz="0" w:space="0" w:color="auto"/>
        <w:bottom w:val="none" w:sz="0" w:space="0" w:color="auto"/>
        <w:right w:val="none" w:sz="0" w:space="0" w:color="auto"/>
      </w:divBdr>
    </w:div>
    <w:div w:id="919219894">
      <w:bodyDiv w:val="1"/>
      <w:marLeft w:val="0"/>
      <w:marRight w:val="0"/>
      <w:marTop w:val="0"/>
      <w:marBottom w:val="0"/>
      <w:divBdr>
        <w:top w:val="none" w:sz="0" w:space="0" w:color="auto"/>
        <w:left w:val="none" w:sz="0" w:space="0" w:color="auto"/>
        <w:bottom w:val="none" w:sz="0" w:space="0" w:color="auto"/>
        <w:right w:val="none" w:sz="0" w:space="0" w:color="auto"/>
      </w:divBdr>
    </w:div>
    <w:div w:id="946279942">
      <w:bodyDiv w:val="1"/>
      <w:marLeft w:val="0"/>
      <w:marRight w:val="0"/>
      <w:marTop w:val="0"/>
      <w:marBottom w:val="0"/>
      <w:divBdr>
        <w:top w:val="none" w:sz="0" w:space="0" w:color="auto"/>
        <w:left w:val="none" w:sz="0" w:space="0" w:color="auto"/>
        <w:bottom w:val="none" w:sz="0" w:space="0" w:color="auto"/>
        <w:right w:val="none" w:sz="0" w:space="0" w:color="auto"/>
      </w:divBdr>
    </w:div>
    <w:div w:id="975720244">
      <w:bodyDiv w:val="1"/>
      <w:marLeft w:val="0"/>
      <w:marRight w:val="0"/>
      <w:marTop w:val="0"/>
      <w:marBottom w:val="0"/>
      <w:divBdr>
        <w:top w:val="none" w:sz="0" w:space="0" w:color="auto"/>
        <w:left w:val="none" w:sz="0" w:space="0" w:color="auto"/>
        <w:bottom w:val="none" w:sz="0" w:space="0" w:color="auto"/>
        <w:right w:val="none" w:sz="0" w:space="0" w:color="auto"/>
      </w:divBdr>
    </w:div>
    <w:div w:id="1040015792">
      <w:bodyDiv w:val="1"/>
      <w:marLeft w:val="0"/>
      <w:marRight w:val="0"/>
      <w:marTop w:val="0"/>
      <w:marBottom w:val="0"/>
      <w:divBdr>
        <w:top w:val="none" w:sz="0" w:space="0" w:color="auto"/>
        <w:left w:val="none" w:sz="0" w:space="0" w:color="auto"/>
        <w:bottom w:val="none" w:sz="0" w:space="0" w:color="auto"/>
        <w:right w:val="none" w:sz="0" w:space="0" w:color="auto"/>
      </w:divBdr>
      <w:divsChild>
        <w:div w:id="152255897">
          <w:marLeft w:val="150"/>
          <w:marRight w:val="150"/>
          <w:marTop w:val="150"/>
          <w:marBottom w:val="150"/>
          <w:divBdr>
            <w:top w:val="none" w:sz="0" w:space="0" w:color="auto"/>
            <w:left w:val="none" w:sz="0" w:space="0" w:color="auto"/>
            <w:bottom w:val="none" w:sz="0" w:space="0" w:color="auto"/>
            <w:right w:val="none" w:sz="0" w:space="0" w:color="auto"/>
          </w:divBdr>
        </w:div>
      </w:divsChild>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30321432">
      <w:bodyDiv w:val="1"/>
      <w:marLeft w:val="0"/>
      <w:marRight w:val="0"/>
      <w:marTop w:val="0"/>
      <w:marBottom w:val="0"/>
      <w:divBdr>
        <w:top w:val="none" w:sz="0" w:space="0" w:color="auto"/>
        <w:left w:val="none" w:sz="0" w:space="0" w:color="auto"/>
        <w:bottom w:val="none" w:sz="0" w:space="0" w:color="auto"/>
        <w:right w:val="none" w:sz="0" w:space="0" w:color="auto"/>
      </w:divBdr>
    </w:div>
    <w:div w:id="1130585543">
      <w:bodyDiv w:val="1"/>
      <w:marLeft w:val="0"/>
      <w:marRight w:val="0"/>
      <w:marTop w:val="0"/>
      <w:marBottom w:val="0"/>
      <w:divBdr>
        <w:top w:val="none" w:sz="0" w:space="0" w:color="auto"/>
        <w:left w:val="none" w:sz="0" w:space="0" w:color="auto"/>
        <w:bottom w:val="none" w:sz="0" w:space="0" w:color="auto"/>
        <w:right w:val="none" w:sz="0" w:space="0" w:color="auto"/>
      </w:divBdr>
    </w:div>
    <w:div w:id="1158351892">
      <w:bodyDiv w:val="1"/>
      <w:marLeft w:val="0"/>
      <w:marRight w:val="0"/>
      <w:marTop w:val="0"/>
      <w:marBottom w:val="0"/>
      <w:divBdr>
        <w:top w:val="none" w:sz="0" w:space="0" w:color="auto"/>
        <w:left w:val="none" w:sz="0" w:space="0" w:color="auto"/>
        <w:bottom w:val="none" w:sz="0" w:space="0" w:color="auto"/>
        <w:right w:val="none" w:sz="0" w:space="0" w:color="auto"/>
      </w:divBdr>
    </w:div>
    <w:div w:id="1159492660">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46954519">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49479661">
      <w:bodyDiv w:val="1"/>
      <w:marLeft w:val="0"/>
      <w:marRight w:val="0"/>
      <w:marTop w:val="0"/>
      <w:marBottom w:val="0"/>
      <w:divBdr>
        <w:top w:val="none" w:sz="0" w:space="0" w:color="auto"/>
        <w:left w:val="none" w:sz="0" w:space="0" w:color="auto"/>
        <w:bottom w:val="none" w:sz="0" w:space="0" w:color="auto"/>
        <w:right w:val="none" w:sz="0" w:space="0" w:color="auto"/>
      </w:divBdr>
      <w:divsChild>
        <w:div w:id="393937348">
          <w:marLeft w:val="45"/>
          <w:marRight w:val="45"/>
          <w:marTop w:val="0"/>
          <w:marBottom w:val="0"/>
          <w:divBdr>
            <w:top w:val="none" w:sz="0" w:space="0" w:color="auto"/>
            <w:left w:val="none" w:sz="0" w:space="0" w:color="auto"/>
            <w:bottom w:val="none" w:sz="0" w:space="0" w:color="auto"/>
            <w:right w:val="none" w:sz="0" w:space="0" w:color="auto"/>
          </w:divBdr>
          <w:divsChild>
            <w:div w:id="94885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142925">
      <w:bodyDiv w:val="1"/>
      <w:marLeft w:val="0"/>
      <w:marRight w:val="0"/>
      <w:marTop w:val="0"/>
      <w:marBottom w:val="0"/>
      <w:divBdr>
        <w:top w:val="none" w:sz="0" w:space="0" w:color="auto"/>
        <w:left w:val="none" w:sz="0" w:space="0" w:color="auto"/>
        <w:bottom w:val="none" w:sz="0" w:space="0" w:color="auto"/>
        <w:right w:val="none" w:sz="0" w:space="0" w:color="auto"/>
      </w:divBdr>
    </w:div>
    <w:div w:id="1354189415">
      <w:bodyDiv w:val="1"/>
      <w:marLeft w:val="0"/>
      <w:marRight w:val="0"/>
      <w:marTop w:val="0"/>
      <w:marBottom w:val="0"/>
      <w:divBdr>
        <w:top w:val="none" w:sz="0" w:space="0" w:color="auto"/>
        <w:left w:val="none" w:sz="0" w:space="0" w:color="auto"/>
        <w:bottom w:val="none" w:sz="0" w:space="0" w:color="auto"/>
        <w:right w:val="none" w:sz="0" w:space="0" w:color="auto"/>
      </w:divBdr>
    </w:div>
    <w:div w:id="135469498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9665424">
      <w:bodyDiv w:val="1"/>
      <w:marLeft w:val="0"/>
      <w:marRight w:val="0"/>
      <w:marTop w:val="0"/>
      <w:marBottom w:val="0"/>
      <w:divBdr>
        <w:top w:val="none" w:sz="0" w:space="0" w:color="auto"/>
        <w:left w:val="none" w:sz="0" w:space="0" w:color="auto"/>
        <w:bottom w:val="none" w:sz="0" w:space="0" w:color="auto"/>
        <w:right w:val="none" w:sz="0" w:space="0" w:color="auto"/>
      </w:divBdr>
    </w:div>
    <w:div w:id="1396582951">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23260853">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9176038">
      <w:bodyDiv w:val="1"/>
      <w:marLeft w:val="0"/>
      <w:marRight w:val="0"/>
      <w:marTop w:val="0"/>
      <w:marBottom w:val="0"/>
      <w:divBdr>
        <w:top w:val="none" w:sz="0" w:space="0" w:color="auto"/>
        <w:left w:val="none" w:sz="0" w:space="0" w:color="auto"/>
        <w:bottom w:val="none" w:sz="0" w:space="0" w:color="auto"/>
        <w:right w:val="none" w:sz="0" w:space="0" w:color="auto"/>
      </w:divBdr>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294825">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897174">
      <w:bodyDiv w:val="1"/>
      <w:marLeft w:val="0"/>
      <w:marRight w:val="0"/>
      <w:marTop w:val="0"/>
      <w:marBottom w:val="0"/>
      <w:divBdr>
        <w:top w:val="none" w:sz="0" w:space="0" w:color="auto"/>
        <w:left w:val="none" w:sz="0" w:space="0" w:color="auto"/>
        <w:bottom w:val="none" w:sz="0" w:space="0" w:color="auto"/>
        <w:right w:val="none" w:sz="0" w:space="0" w:color="auto"/>
      </w:divBdr>
    </w:div>
    <w:div w:id="1691295638">
      <w:bodyDiv w:val="1"/>
      <w:marLeft w:val="0"/>
      <w:marRight w:val="0"/>
      <w:marTop w:val="0"/>
      <w:marBottom w:val="0"/>
      <w:divBdr>
        <w:top w:val="none" w:sz="0" w:space="0" w:color="auto"/>
        <w:left w:val="none" w:sz="0" w:space="0" w:color="auto"/>
        <w:bottom w:val="none" w:sz="0" w:space="0" w:color="auto"/>
        <w:right w:val="none" w:sz="0" w:space="0" w:color="auto"/>
      </w:divBdr>
    </w:div>
    <w:div w:id="1696879896">
      <w:bodyDiv w:val="1"/>
      <w:marLeft w:val="0"/>
      <w:marRight w:val="0"/>
      <w:marTop w:val="0"/>
      <w:marBottom w:val="0"/>
      <w:divBdr>
        <w:top w:val="none" w:sz="0" w:space="0" w:color="auto"/>
        <w:left w:val="none" w:sz="0" w:space="0" w:color="auto"/>
        <w:bottom w:val="none" w:sz="0" w:space="0" w:color="auto"/>
        <w:right w:val="none" w:sz="0" w:space="0" w:color="auto"/>
      </w:divBdr>
    </w:div>
    <w:div w:id="171804407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742534">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617278">
      <w:bodyDiv w:val="1"/>
      <w:marLeft w:val="0"/>
      <w:marRight w:val="0"/>
      <w:marTop w:val="0"/>
      <w:marBottom w:val="0"/>
      <w:divBdr>
        <w:top w:val="none" w:sz="0" w:space="0" w:color="auto"/>
        <w:left w:val="none" w:sz="0" w:space="0" w:color="auto"/>
        <w:bottom w:val="none" w:sz="0" w:space="0" w:color="auto"/>
        <w:right w:val="none" w:sz="0" w:space="0" w:color="auto"/>
      </w:divBdr>
    </w:div>
    <w:div w:id="1769809368">
      <w:bodyDiv w:val="1"/>
      <w:marLeft w:val="0"/>
      <w:marRight w:val="0"/>
      <w:marTop w:val="0"/>
      <w:marBottom w:val="0"/>
      <w:divBdr>
        <w:top w:val="none" w:sz="0" w:space="0" w:color="auto"/>
        <w:left w:val="none" w:sz="0" w:space="0" w:color="auto"/>
        <w:bottom w:val="none" w:sz="0" w:space="0" w:color="auto"/>
        <w:right w:val="none" w:sz="0" w:space="0" w:color="auto"/>
      </w:divBdr>
    </w:div>
    <w:div w:id="1804031597">
      <w:bodyDiv w:val="1"/>
      <w:marLeft w:val="0"/>
      <w:marRight w:val="0"/>
      <w:marTop w:val="0"/>
      <w:marBottom w:val="0"/>
      <w:divBdr>
        <w:top w:val="none" w:sz="0" w:space="0" w:color="auto"/>
        <w:left w:val="none" w:sz="0" w:space="0" w:color="auto"/>
        <w:bottom w:val="none" w:sz="0" w:space="0" w:color="auto"/>
        <w:right w:val="none" w:sz="0" w:space="0" w:color="auto"/>
      </w:divBdr>
    </w:div>
    <w:div w:id="1814326368">
      <w:bodyDiv w:val="1"/>
      <w:marLeft w:val="0"/>
      <w:marRight w:val="0"/>
      <w:marTop w:val="0"/>
      <w:marBottom w:val="0"/>
      <w:divBdr>
        <w:top w:val="none" w:sz="0" w:space="0" w:color="auto"/>
        <w:left w:val="none" w:sz="0" w:space="0" w:color="auto"/>
        <w:bottom w:val="none" w:sz="0" w:space="0" w:color="auto"/>
        <w:right w:val="none" w:sz="0" w:space="0" w:color="auto"/>
      </w:divBdr>
    </w:div>
    <w:div w:id="1816095290">
      <w:bodyDiv w:val="1"/>
      <w:marLeft w:val="0"/>
      <w:marRight w:val="0"/>
      <w:marTop w:val="0"/>
      <w:marBottom w:val="0"/>
      <w:divBdr>
        <w:top w:val="none" w:sz="0" w:space="0" w:color="auto"/>
        <w:left w:val="none" w:sz="0" w:space="0" w:color="auto"/>
        <w:bottom w:val="none" w:sz="0" w:space="0" w:color="auto"/>
        <w:right w:val="none" w:sz="0" w:space="0" w:color="auto"/>
      </w:divBdr>
    </w:div>
    <w:div w:id="1832721113">
      <w:bodyDiv w:val="1"/>
      <w:marLeft w:val="0"/>
      <w:marRight w:val="0"/>
      <w:marTop w:val="0"/>
      <w:marBottom w:val="0"/>
      <w:divBdr>
        <w:top w:val="none" w:sz="0" w:space="0" w:color="auto"/>
        <w:left w:val="none" w:sz="0" w:space="0" w:color="auto"/>
        <w:bottom w:val="none" w:sz="0" w:space="0" w:color="auto"/>
        <w:right w:val="none" w:sz="0" w:space="0" w:color="auto"/>
      </w:divBdr>
    </w:div>
    <w:div w:id="1845784443">
      <w:bodyDiv w:val="1"/>
      <w:marLeft w:val="0"/>
      <w:marRight w:val="0"/>
      <w:marTop w:val="0"/>
      <w:marBottom w:val="0"/>
      <w:divBdr>
        <w:top w:val="none" w:sz="0" w:space="0" w:color="auto"/>
        <w:left w:val="none" w:sz="0" w:space="0" w:color="auto"/>
        <w:bottom w:val="none" w:sz="0" w:space="0" w:color="auto"/>
        <w:right w:val="none" w:sz="0" w:space="0" w:color="auto"/>
      </w:divBdr>
    </w:div>
    <w:div w:id="1856459675">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5927465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178836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4261463">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8259892">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1491438">
      <w:bodyDiv w:val="1"/>
      <w:marLeft w:val="0"/>
      <w:marRight w:val="0"/>
      <w:marTop w:val="0"/>
      <w:marBottom w:val="0"/>
      <w:divBdr>
        <w:top w:val="none" w:sz="0" w:space="0" w:color="auto"/>
        <w:left w:val="none" w:sz="0" w:space="0" w:color="auto"/>
        <w:bottom w:val="none" w:sz="0" w:space="0" w:color="auto"/>
        <w:right w:val="none" w:sz="0" w:space="0" w:color="auto"/>
      </w:divBdr>
    </w:div>
    <w:div w:id="2106537221">
      <w:bodyDiv w:val="1"/>
      <w:marLeft w:val="0"/>
      <w:marRight w:val="0"/>
      <w:marTop w:val="0"/>
      <w:marBottom w:val="0"/>
      <w:divBdr>
        <w:top w:val="none" w:sz="0" w:space="0" w:color="auto"/>
        <w:left w:val="none" w:sz="0" w:space="0" w:color="auto"/>
        <w:bottom w:val="none" w:sz="0" w:space="0" w:color="auto"/>
        <w:right w:val="none" w:sz="0" w:space="0" w:color="auto"/>
      </w:divBdr>
    </w:div>
    <w:div w:id="210777162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9176861">
      <w:bodyDiv w:val="1"/>
      <w:marLeft w:val="0"/>
      <w:marRight w:val="0"/>
      <w:marTop w:val="0"/>
      <w:marBottom w:val="0"/>
      <w:divBdr>
        <w:top w:val="none" w:sz="0" w:space="0" w:color="auto"/>
        <w:left w:val="none" w:sz="0" w:space="0" w:color="auto"/>
        <w:bottom w:val="none" w:sz="0" w:space="0" w:color="auto"/>
        <w:right w:val="none" w:sz="0" w:space="0" w:color="auto"/>
      </w:divBdr>
      <w:divsChild>
        <w:div w:id="1510218589">
          <w:marLeft w:val="0"/>
          <w:marRight w:val="0"/>
          <w:marTop w:val="0"/>
          <w:marBottom w:val="0"/>
          <w:divBdr>
            <w:top w:val="none" w:sz="0" w:space="0" w:color="auto"/>
            <w:left w:val="none" w:sz="0" w:space="0" w:color="auto"/>
            <w:bottom w:val="none" w:sz="0" w:space="0" w:color="auto"/>
            <w:right w:val="none" w:sz="0" w:space="0" w:color="auto"/>
          </w:divBdr>
          <w:divsChild>
            <w:div w:id="1085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8197">
      <w:bodyDiv w:val="1"/>
      <w:marLeft w:val="0"/>
      <w:marRight w:val="0"/>
      <w:marTop w:val="0"/>
      <w:marBottom w:val="0"/>
      <w:divBdr>
        <w:top w:val="none" w:sz="0" w:space="0" w:color="auto"/>
        <w:left w:val="none" w:sz="0" w:space="0" w:color="auto"/>
        <w:bottom w:val="none" w:sz="0" w:space="0" w:color="auto"/>
        <w:right w:val="none" w:sz="0" w:space="0" w:color="auto"/>
      </w:divBdr>
    </w:div>
    <w:div w:id="2141069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books.google.fr/books?id=x7fOVPmlS4MC&amp;pg=PA61&amp;lpg=PA61&amp;dq=%22diversity+jurisdiction%22+caseload+federal&amp;source=bl&amp;ots=r79Q5I-orC&amp;sig=yGpnoHyJ8VzQ7lBoOiA8swPUIxE&amp;hl=fr&amp;sa=X&amp;ved=0CEUQ6AEwBGoVChMItNCBr-XixgIVRFQUCh1jrAL1" TargetMode="External"/><Relationship Id="rId14" Type="http://schemas.openxmlformats.org/officeDocument/2006/relationships/image" Target="media/image1.jpeg"/><Relationship Id="rId15" Type="http://schemas.microsoft.com/office/2007/relationships/hdphoto" Target="media/hdphoto1.wdp"/><Relationship Id="rId16" Type="http://schemas.openxmlformats.org/officeDocument/2006/relationships/hyperlink" Target="http://scholarship.law.duke.edu/cgi/viewcontent.cgi?article=6009&amp;context=faculty_scholarship" TargetMode="External"/><Relationship Id="rId17" Type="http://schemas.openxmlformats.org/officeDocument/2006/relationships/hyperlink" Target="http://engagedscholarship.csuohio.edu/cgi/viewcontent.cgi?article=1397&amp;context=clevstl%20rev" TargetMode="External"/><Relationship Id="rId18" Type="http://schemas.openxmlformats.org/officeDocument/2006/relationships/hyperlink" Target="http://works.bepress.com/david_crump/6/" TargetMode="External"/><Relationship Id="rId19" Type="http://schemas.openxmlformats.org/officeDocument/2006/relationships/hyperlink" Target="http://works.bepress.com/david_crump/6/" TargetMode="External"/><Relationship Id="rId63" Type="http://schemas.microsoft.com/office/2007/relationships/hdphoto" Target="media/hdphoto8.wdp"/><Relationship Id="rId64" Type="http://schemas.openxmlformats.org/officeDocument/2006/relationships/hyperlink" Target="http://www.fclr.org/fclr/articles/html/2010/dynamic.pdf" TargetMode="External"/><Relationship Id="rId65" Type="http://schemas.openxmlformats.org/officeDocument/2006/relationships/hyperlink" Target="http://www.fclr.org/fclr/articles/html/2010/dynamic.pdf" TargetMode="External"/><Relationship Id="rId66" Type="http://schemas.openxmlformats.org/officeDocument/2006/relationships/hyperlink" Target="http://www.fclr.org/fclr/articles/html/2010/dynamic.pdf" TargetMode="External"/><Relationship Id="rId67" Type="http://schemas.openxmlformats.org/officeDocument/2006/relationships/hyperlink" Target="http://www.fclr.org/fclr/articles/html/2010/dynamic.pdf" TargetMode="External"/><Relationship Id="rId68" Type="http://schemas.openxmlformats.org/officeDocument/2006/relationships/hyperlink" Target="http://www.fclr.org/fclr/articles/html/2010/dynamic.pdf" TargetMode="External"/><Relationship Id="rId69" Type="http://schemas.openxmlformats.org/officeDocument/2006/relationships/hyperlink" Target="http://www.fclr.org/fclr/articles/html/2010/dynamic.pdf" TargetMode="External"/><Relationship Id="rId50" Type="http://schemas.openxmlformats.org/officeDocument/2006/relationships/hyperlink" Target="http://federalpracticemanual.org/node/11" TargetMode="External"/><Relationship Id="rId51" Type="http://schemas.openxmlformats.org/officeDocument/2006/relationships/hyperlink" Target="http://engagedscholarship.csuohio.edu/cgi/viewcontent.cgi?article=1397&amp;context=clevstl%20rev" TargetMode="External"/><Relationship Id="rId52" Type="http://schemas.openxmlformats.org/officeDocument/2006/relationships/hyperlink" Target="http://www.fclr.org/fclr/articles/html/2010/dynamic.pdf" TargetMode="External"/><Relationship Id="rId53" Type="http://schemas.openxmlformats.org/officeDocument/2006/relationships/hyperlink" Target="http://www.fclr.org/fclr/articles/html/2010/dynamic.pdf" TargetMode="External"/><Relationship Id="rId54" Type="http://schemas.openxmlformats.org/officeDocument/2006/relationships/hyperlink" Target="http://www.scribd.com/doc/270129916/Extended-Vacancies-Crushing-Caseloads-and-Emergency-Panels-in-the-Federal-Courts-of-Appeals" TargetMode="External"/><Relationship Id="rId55" Type="http://schemas.openxmlformats.org/officeDocument/2006/relationships/image" Target="media/image6.jpeg"/><Relationship Id="rId56" Type="http://schemas.microsoft.com/office/2007/relationships/hdphoto" Target="media/hdphoto6.wdp"/><Relationship Id="rId57" Type="http://schemas.openxmlformats.org/officeDocument/2006/relationships/hyperlink" Target="https://www.americanbar.org/advocacy/governmental_legislative_work/priorities_policy/independence_of_the_judiciary/judicial_vacancies.html" TargetMode="External"/><Relationship Id="rId58" Type="http://schemas.openxmlformats.org/officeDocument/2006/relationships/hyperlink" Target="http://heinonline.org/HOL/LandingPage?handle=hein.journals/judica74&amp;div=11&amp;id=&amp;page" TargetMode="External"/><Relationship Id="rId59" Type="http://schemas.openxmlformats.org/officeDocument/2006/relationships/image" Target="media/image7.jpeg"/><Relationship Id="rId40" Type="http://schemas.openxmlformats.org/officeDocument/2006/relationships/hyperlink" Target="http://works.bepress.com/david_crump/6/" TargetMode="External"/><Relationship Id="rId41" Type="http://schemas.openxmlformats.org/officeDocument/2006/relationships/hyperlink" Target="http://works.bepress.com/david_crump/6/" TargetMode="External"/><Relationship Id="rId42" Type="http://schemas.openxmlformats.org/officeDocument/2006/relationships/hyperlink" Target="http://works.bepress.com/david_crump/6/" TargetMode="External"/><Relationship Id="rId43" Type="http://schemas.openxmlformats.org/officeDocument/2006/relationships/hyperlink" Target="http://works.bepress.com/david_crump/6/" TargetMode="External"/><Relationship Id="rId44" Type="http://schemas.openxmlformats.org/officeDocument/2006/relationships/hyperlink" Target="https://books.google.fr/books?id=x7fOVPmlS4MC&amp;pg=PA61&amp;lpg=PA61&amp;dq=%22diversity+jurisdiction%22+caseload+federal&amp;source=bl&amp;ots=r79Q5I-orC&amp;sig=yGpnoHyJ8VzQ7lBoOiA8swPUIxE&amp;hl=fr&amp;sa=X&amp;ved=0CEUQ6AEwBGoVChMItNCBr-XixgIVRFQUCh1jrAL1" TargetMode="External"/><Relationship Id="rId45" Type="http://schemas.openxmlformats.org/officeDocument/2006/relationships/image" Target="media/image5.jpeg"/><Relationship Id="rId46" Type="http://schemas.microsoft.com/office/2007/relationships/hdphoto" Target="media/hdphoto5.wdp"/><Relationship Id="rId47" Type="http://schemas.openxmlformats.org/officeDocument/2006/relationships/hyperlink" Target="http://federalpracticemanual.org/node/11" TargetMode="External"/><Relationship Id="rId48" Type="http://schemas.openxmlformats.org/officeDocument/2006/relationships/hyperlink" Target="http://www.jureeka.net/Jureeka/US.aspx?doc=U.S.C.&amp;vol=28&amp;sec=1332&amp;sec2=undefined&amp;sec3=undefined&amp;sec4=undefined&amp;bUrl=http://federalpracticemanual.org/node/11/edit" TargetMode="External"/><Relationship Id="rId49" Type="http://schemas.openxmlformats.org/officeDocument/2006/relationships/hyperlink" Target="http://federalpracticemanual.org/node/11"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www.fclr.org/fclr/articles/html/2010/dynamic.pdf" TargetMode="External"/><Relationship Id="rId31" Type="http://schemas.openxmlformats.org/officeDocument/2006/relationships/hyperlink" Target="http://works.bepress.com/david_crump/6/" TargetMode="External"/><Relationship Id="rId32" Type="http://schemas.openxmlformats.org/officeDocument/2006/relationships/hyperlink" Target="http://engagedscholarship.csuohio.edu/cgi/viewcontent.cgi?article=1397&amp;context=clevstl%20rev" TargetMode="External"/><Relationship Id="rId33" Type="http://schemas.openxmlformats.org/officeDocument/2006/relationships/hyperlink" Target="https://books.google.fr/books?id=x7fOVPmlS4MC&amp;pg=PA61&amp;lpg=PA61&amp;dq=%22diversity+jurisdiction%22+caseload+federal&amp;source=bl&amp;ots=r79Q5I-orC&amp;sig=yGpnoHyJ8VzQ7lBoOiA8swPUIxE&amp;hl=fr&amp;sa=X&amp;ved=0CEUQ6AEwBGoVChMItNCBr-XixgIVRFQUCh1jrAL1" TargetMode="External"/><Relationship Id="rId34" Type="http://schemas.openxmlformats.org/officeDocument/2006/relationships/image" Target="media/image4.jpeg"/><Relationship Id="rId35" Type="http://schemas.microsoft.com/office/2007/relationships/hdphoto" Target="media/hdphoto4.wdp"/><Relationship Id="rId36" Type="http://schemas.openxmlformats.org/officeDocument/2006/relationships/hyperlink" Target="http://scholarship.law.duke.edu/cgi/viewcontent.cgi?article=6009&amp;context=faculty_scholarship" TargetMode="External"/><Relationship Id="rId37" Type="http://schemas.openxmlformats.org/officeDocument/2006/relationships/hyperlink" Target="http://engagedscholarship.csuohio.edu/cgi/viewcontent.cgi?article=1397&amp;context=clevstl%20rev" TargetMode="External"/><Relationship Id="rId38" Type="http://schemas.openxmlformats.org/officeDocument/2006/relationships/hyperlink" Target="http://www.fclr.org/fclr/articles/html/2010/dynamic.pdf" TargetMode="External"/><Relationship Id="rId39" Type="http://schemas.openxmlformats.org/officeDocument/2006/relationships/hyperlink" Target="http://scholarship.law.duke.edu/cgi/viewcontent.cgi?article=6009&amp;context=faculty_scholarship" TargetMode="External"/><Relationship Id="rId80" Type="http://schemas.openxmlformats.org/officeDocument/2006/relationships/hyperlink" Target="http://www.washingtonpost.com/blogs/govbeat/wp/2014/07/15/after-years-of-cuts-state-budgets-show-surpluses/" TargetMode="External"/><Relationship Id="rId81" Type="http://schemas.openxmlformats.org/officeDocument/2006/relationships/header" Target="header3.xml"/><Relationship Id="rId82" Type="http://schemas.openxmlformats.org/officeDocument/2006/relationships/fontTable" Target="fontTable.xml"/><Relationship Id="rId83" Type="http://schemas.openxmlformats.org/officeDocument/2006/relationships/theme" Target="theme/theme1.xml"/><Relationship Id="rId70" Type="http://schemas.openxmlformats.org/officeDocument/2006/relationships/hyperlink" Target="http://www.fclr.org/fclr/articles/html/2010/dynamic.pdf" TargetMode="External"/><Relationship Id="rId71" Type="http://schemas.openxmlformats.org/officeDocument/2006/relationships/hyperlink" Target="http://www.baylor.edu/content/services/document.php/116821.pdf" TargetMode="External"/><Relationship Id="rId72" Type="http://schemas.openxmlformats.org/officeDocument/2006/relationships/hyperlink" Target="http://works.bepress.com/david_crump/6/" TargetMode="External"/><Relationship Id="rId20" Type="http://schemas.openxmlformats.org/officeDocument/2006/relationships/hyperlink" Target="https://books.google.fr/books?id=eZQWAAAAQBAJ&amp;pg=PA44&amp;lpg=PA44&amp;dq=abolish+federal+%22diversity+jurisdiction%22++2012+OR+2013+OR+2014+OR+2015&amp;source=bl&amp;ots=w6r_sKxi3k&amp;sig=dckrnlDL2CFpY4bGMDypqkm968Y&amp;hl=fr&amp;sa=X&amp;ved=0CFoQ6AEwBmoVChMIid_2hYzgxgIVxlcUCh25XAkW" TargetMode="External"/><Relationship Id="rId21" Type="http://schemas.openxmlformats.org/officeDocument/2006/relationships/image" Target="media/image2.jpeg"/><Relationship Id="rId22" Type="http://schemas.microsoft.com/office/2007/relationships/hdphoto" Target="media/hdphoto2.wdp"/><Relationship Id="rId23" Type="http://schemas.openxmlformats.org/officeDocument/2006/relationships/hyperlink" Target="https://books.google.fr/books?id=x7fOVPmlS4MC&amp;pg=PA61&amp;lpg=PA61&amp;dq=%22diversity+jurisdiction%22+caseload+federal&amp;source=bl&amp;ots=r79Q5I-orC&amp;sig=yGpnoHyJ8VzQ7lBoOiA8swPUIxE&amp;hl=fr&amp;sa=X&amp;ved=0CEUQ6AEwBGoVChMItNCBr-XixgIVRFQUCh1jrAL1" TargetMode="External"/><Relationship Id="rId24" Type="http://schemas.openxmlformats.org/officeDocument/2006/relationships/image" Target="media/image3.jpeg"/><Relationship Id="rId25" Type="http://schemas.microsoft.com/office/2007/relationships/hdphoto" Target="media/hdphoto3.wdp"/><Relationship Id="rId26" Type="http://schemas.openxmlformats.org/officeDocument/2006/relationships/header" Target="header2.xml"/><Relationship Id="rId27" Type="http://schemas.openxmlformats.org/officeDocument/2006/relationships/hyperlink" Target="http://www.harvard-jlpp.com/wp-content/uploads/2014/01/37_1_295_Cooper_Nielson.pdf" TargetMode="External"/><Relationship Id="rId28" Type="http://schemas.openxmlformats.org/officeDocument/2006/relationships/hyperlink" Target="http://engagedscholarship.csuohio.edu/cgi/viewcontent.cgi?article=1397&amp;context=clevstl%20rev" TargetMode="External"/><Relationship Id="rId29" Type="http://schemas.openxmlformats.org/officeDocument/2006/relationships/hyperlink" Target="https://www.google.com/url?q=https://www.google.fr/url?sa%3Dt%26rct%3Dj%26q%3D%26esrc%3Ds%26source%3Dweb%26cd%3D1%26cad%3Drja%26uact%3D8%26ved%3D0CCAQFjAAahUKEwjsyaOumIbIAhUGOxoKHeGSB3I%26url%3Dhttp%253A%252F%252Flibrary.cqpress.com%252Fcqalmanac%252Fdocument.php%253Fid%253Dcqal71-1254515%26usg%3DAFQjCNFXu51nDXxLMDXBMdYN34rnxKS4kg%26sig2%3Dw9qg7StiAm0n5iVvdSa4Vg&amp;sa=D&amp;ust=1442837073493000&amp;usg=AFQjCNHwpkW1N5A2-s1rZswFIY4wBlVwGA" TargetMode="External"/><Relationship Id="rId73" Type="http://schemas.openxmlformats.org/officeDocument/2006/relationships/hyperlink" Target="http://works.bepress.com/david_crump/6/" TargetMode="External"/><Relationship Id="rId74" Type="http://schemas.openxmlformats.org/officeDocument/2006/relationships/hyperlink" Target="http://works.bepress.com/david_crump/6/" TargetMode="External"/><Relationship Id="rId75" Type="http://schemas.openxmlformats.org/officeDocument/2006/relationships/hyperlink" Target="http://works.bepress.com/david_crump/6/" TargetMode="External"/><Relationship Id="rId76" Type="http://schemas.openxmlformats.org/officeDocument/2006/relationships/hyperlink" Target="http://works.bepress.com/david_crump/6/" TargetMode="External"/><Relationship Id="rId77" Type="http://schemas.openxmlformats.org/officeDocument/2006/relationships/hyperlink" Target="http://works.bepress.com/david_crump/6/" TargetMode="External"/><Relationship Id="rId78" Type="http://schemas.openxmlformats.org/officeDocument/2006/relationships/hyperlink" Target="http://works.bepress.com/david_crump/6/" TargetMode="External"/><Relationship Id="rId79" Type="http://schemas.openxmlformats.org/officeDocument/2006/relationships/hyperlink" Target="http://www.fclr.org/fclr/articles/html/2010/dynamic.pdf" TargetMode="External"/><Relationship Id="rId60" Type="http://schemas.microsoft.com/office/2007/relationships/hdphoto" Target="media/hdphoto7.wdp"/><Relationship Id="rId61" Type="http://schemas.openxmlformats.org/officeDocument/2006/relationships/hyperlink" Target="https://books.google.fr/books?id=CD3TCQAAQBAJ&amp;pg=PA67&amp;lpg=PA67&amp;dq=%22diversity+jurisdiction%22+caseload+federal&amp;source=bl&amp;ots=lr_dHhWTVM&amp;sig=lHFEEARnSsJ4AcUu8TNQHsPw9Ug&amp;hl=fr&amp;sa=X&amp;ved=0CCkQ6AEwATgKahUKEwjm0Judj-TGAhWLXRQKHa_XD8M" TargetMode="External"/><Relationship Id="rId62" Type="http://schemas.openxmlformats.org/officeDocument/2006/relationships/image" Target="media/image8.jpeg"/><Relationship Id="rId10" Type="http://schemas.openxmlformats.org/officeDocument/2006/relationships/hyperlink" Target="http://www.merriam-webster.com/dictionary/significant" TargetMode="External"/><Relationship Id="rId11" Type="http://schemas.openxmlformats.org/officeDocument/2006/relationships/hyperlink" Target="http://www.merriam-webster.com/dictionary/reform" TargetMode="External"/><Relationship Id="rId12" Type="http://schemas.openxmlformats.org/officeDocument/2006/relationships/hyperlink" Target="http://www.merriam-webster.com/dictionary/syste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holarship.law.duke.edu/cgi/viewcontent.cgi?article=6009&amp;context=faculty_scholar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9298E-42C3-2740-AD89-65F1D15E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10531</Words>
  <Characters>60027</Characters>
  <Application>Microsoft Macintosh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70418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cp:lastPrinted>2015-12-19T13:17:00Z</cp:lastPrinted>
  <dcterms:created xsi:type="dcterms:W3CDTF">2015-12-19T13:17:00Z</dcterms:created>
  <dcterms:modified xsi:type="dcterms:W3CDTF">2017-07-23T11:24:00Z</dcterms:modified>
</cp:coreProperties>
</file>